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99FC" w14:textId="47FC09D7" w:rsidR="005354AC" w:rsidRPr="005354AC" w:rsidRDefault="004E6014" w:rsidP="004E6014">
      <w:pPr>
        <w:shd w:val="clear" w:color="auto" w:fill="FFFFFF"/>
        <w:spacing w:before="450" w:after="0" w:line="240" w:lineRule="auto"/>
        <w:rPr>
          <w:rFonts w:ascii="Arial" w:eastAsia="Times New Roman" w:hAnsi="Arial" w:cs="Arial"/>
          <w:b/>
          <w:bCs/>
          <w:caps/>
          <w:color w:val="162937"/>
          <w:lang w:eastAsia="pt-BR"/>
        </w:rPr>
      </w:pPr>
      <w:bookmarkStart w:id="0" w:name="_Hlk113543110"/>
      <w:r>
        <w:rPr>
          <w:rFonts w:ascii="Arial" w:eastAsia="Times New Roman" w:hAnsi="Arial" w:cs="Arial"/>
          <w:b/>
          <w:bCs/>
          <w:caps/>
          <w:color w:val="162937"/>
          <w:lang w:eastAsia="pt-BR"/>
        </w:rPr>
        <w:t xml:space="preserve">                         </w:t>
      </w:r>
      <w:r w:rsidR="005354AC" w:rsidRPr="008C646C">
        <w:rPr>
          <w:rFonts w:ascii="Arial" w:eastAsia="Times New Roman" w:hAnsi="Arial" w:cs="Arial"/>
          <w:b/>
          <w:bCs/>
          <w:caps/>
          <w:color w:val="4472C4" w:themeColor="accent1"/>
          <w:lang w:eastAsia="pt-BR"/>
        </w:rPr>
        <w:t xml:space="preserve">PORTARIA CGE-G Nº 001/2022, DE </w:t>
      </w:r>
      <w:r w:rsidR="00390523" w:rsidRPr="008C646C">
        <w:rPr>
          <w:rFonts w:ascii="Arial" w:eastAsia="Times New Roman" w:hAnsi="Arial" w:cs="Arial"/>
          <w:b/>
          <w:bCs/>
          <w:caps/>
          <w:color w:val="4472C4" w:themeColor="accent1"/>
          <w:lang w:eastAsia="pt-BR"/>
        </w:rPr>
        <w:t>08</w:t>
      </w:r>
      <w:r w:rsidR="005354AC" w:rsidRPr="008C646C">
        <w:rPr>
          <w:rFonts w:ascii="Arial" w:eastAsia="Times New Roman" w:hAnsi="Arial" w:cs="Arial"/>
          <w:b/>
          <w:bCs/>
          <w:caps/>
          <w:color w:val="4472C4" w:themeColor="accent1"/>
          <w:lang w:eastAsia="pt-BR"/>
        </w:rPr>
        <w:t xml:space="preserve"> DE </w:t>
      </w:r>
      <w:r w:rsidR="00390523" w:rsidRPr="008C646C">
        <w:rPr>
          <w:rFonts w:ascii="Arial" w:eastAsia="Times New Roman" w:hAnsi="Arial" w:cs="Arial"/>
          <w:b/>
          <w:bCs/>
          <w:caps/>
          <w:color w:val="4472C4" w:themeColor="accent1"/>
          <w:lang w:eastAsia="pt-BR"/>
        </w:rPr>
        <w:t>setembro</w:t>
      </w:r>
      <w:r w:rsidR="005354AC" w:rsidRPr="008C646C">
        <w:rPr>
          <w:rFonts w:ascii="Arial" w:eastAsia="Times New Roman" w:hAnsi="Arial" w:cs="Arial"/>
          <w:b/>
          <w:bCs/>
          <w:caps/>
          <w:color w:val="4472C4" w:themeColor="accent1"/>
          <w:lang w:eastAsia="pt-BR"/>
        </w:rPr>
        <w:t xml:space="preserve"> DE 2022</w:t>
      </w:r>
    </w:p>
    <w:p w14:paraId="5C0F481D" w14:textId="7137E5DC" w:rsidR="005354AC" w:rsidRPr="005354AC" w:rsidRDefault="005354AC" w:rsidP="00F156FE">
      <w:pPr>
        <w:shd w:val="clear" w:color="auto" w:fill="FFFFFF"/>
        <w:spacing w:after="0" w:line="240" w:lineRule="auto"/>
        <w:ind w:left="54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Estabelece </w:t>
      </w:r>
      <w:r w:rsidR="00977BDC">
        <w:rPr>
          <w:rFonts w:ascii="Arial" w:eastAsia="Times New Roman" w:hAnsi="Arial" w:cs="Arial"/>
          <w:color w:val="162937"/>
          <w:lang w:eastAsia="pt-BR"/>
        </w:rPr>
        <w:t xml:space="preserve">nova estrutura </w:t>
      </w:r>
      <w:proofErr w:type="gramStart"/>
      <w:r w:rsidR="00977BDC">
        <w:rPr>
          <w:rFonts w:ascii="Arial" w:eastAsia="Times New Roman" w:hAnsi="Arial" w:cs="Arial"/>
          <w:color w:val="162937"/>
          <w:lang w:eastAsia="pt-BR"/>
        </w:rPr>
        <w:t xml:space="preserve">de </w:t>
      </w:r>
      <w:r w:rsidRPr="005354AC">
        <w:rPr>
          <w:rFonts w:ascii="Arial" w:eastAsia="Times New Roman" w:hAnsi="Arial" w:cs="Arial"/>
          <w:color w:val="162937"/>
          <w:lang w:eastAsia="pt-BR"/>
        </w:rPr>
        <w:t xml:space="preserve"> classificação</w:t>
      </w:r>
      <w:proofErr w:type="gramEnd"/>
      <w:r w:rsidRPr="005354AC">
        <w:rPr>
          <w:rFonts w:ascii="Arial" w:eastAsia="Times New Roman" w:hAnsi="Arial" w:cs="Arial"/>
          <w:color w:val="162937"/>
          <w:lang w:eastAsia="pt-BR"/>
        </w:rPr>
        <w:t xml:space="preserve"> das fontes ou destinações de recursos a ser utilizada </w:t>
      </w:r>
      <w:r w:rsidRPr="00C174E0">
        <w:rPr>
          <w:rFonts w:ascii="Arial" w:eastAsia="Times New Roman" w:hAnsi="Arial" w:cs="Arial"/>
          <w:color w:val="162937"/>
          <w:lang w:eastAsia="pt-BR"/>
        </w:rPr>
        <w:t>no Estado de São Paulo conforme determina a Portaria STN 710 de 25 de fevereiro de 202</w:t>
      </w:r>
      <w:r w:rsidR="00977BDC">
        <w:rPr>
          <w:rFonts w:ascii="Arial" w:eastAsia="Times New Roman" w:hAnsi="Arial" w:cs="Arial"/>
          <w:color w:val="162937"/>
          <w:lang w:eastAsia="pt-BR"/>
        </w:rPr>
        <w:t>1</w:t>
      </w:r>
      <w:r w:rsidRPr="00C174E0">
        <w:rPr>
          <w:rFonts w:ascii="Arial" w:eastAsia="Times New Roman" w:hAnsi="Arial" w:cs="Arial"/>
          <w:color w:val="162937"/>
          <w:lang w:eastAsia="pt-BR"/>
        </w:rPr>
        <w:t xml:space="preserve"> e suas atualizações</w:t>
      </w:r>
    </w:p>
    <w:p w14:paraId="514E6C35" w14:textId="18024754"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O </w:t>
      </w:r>
      <w:r w:rsidRPr="00C174E0">
        <w:rPr>
          <w:rFonts w:ascii="Arial" w:eastAsia="Times New Roman" w:hAnsi="Arial" w:cs="Arial"/>
          <w:color w:val="162937"/>
          <w:lang w:eastAsia="pt-BR"/>
        </w:rPr>
        <w:t xml:space="preserve">Contador Geral do Estado, </w:t>
      </w:r>
      <w:r w:rsidRPr="005354AC">
        <w:rPr>
          <w:rFonts w:ascii="Arial" w:eastAsia="Times New Roman" w:hAnsi="Arial" w:cs="Arial"/>
          <w:color w:val="162937"/>
          <w:lang w:eastAsia="pt-BR"/>
        </w:rPr>
        <w:t>no uso de suas atribuições legais e</w:t>
      </w:r>
      <w:r w:rsidR="00CA7C98">
        <w:rPr>
          <w:rFonts w:ascii="Arial" w:eastAsia="Times New Roman" w:hAnsi="Arial" w:cs="Arial"/>
          <w:color w:val="162937"/>
          <w:lang w:eastAsia="pt-BR"/>
        </w:rPr>
        <w:t>stabelecidas no artigo 77, do Decreto 6</w:t>
      </w:r>
      <w:r w:rsidR="00B84192">
        <w:rPr>
          <w:rFonts w:ascii="Arial" w:eastAsia="Times New Roman" w:hAnsi="Arial" w:cs="Arial"/>
          <w:color w:val="162937"/>
          <w:lang w:eastAsia="pt-BR"/>
        </w:rPr>
        <w:t>6</w:t>
      </w:r>
      <w:r w:rsidR="00CA7C98">
        <w:rPr>
          <w:rFonts w:ascii="Arial" w:eastAsia="Times New Roman" w:hAnsi="Arial" w:cs="Arial"/>
          <w:color w:val="162937"/>
          <w:lang w:eastAsia="pt-BR"/>
        </w:rPr>
        <w:t>.</w:t>
      </w:r>
      <w:r w:rsidR="00B84192">
        <w:rPr>
          <w:rFonts w:ascii="Arial" w:eastAsia="Times New Roman" w:hAnsi="Arial" w:cs="Arial"/>
          <w:color w:val="162937"/>
          <w:lang w:eastAsia="pt-BR"/>
        </w:rPr>
        <w:t>457/2022</w:t>
      </w:r>
      <w:r w:rsidR="00F156FE">
        <w:rPr>
          <w:rFonts w:ascii="Arial" w:eastAsia="Times New Roman" w:hAnsi="Arial" w:cs="Arial"/>
          <w:color w:val="162937"/>
          <w:lang w:eastAsia="pt-BR"/>
        </w:rPr>
        <w:t>;</w:t>
      </w:r>
      <w:r w:rsidRPr="005354AC">
        <w:rPr>
          <w:rFonts w:ascii="Arial" w:eastAsia="Times New Roman" w:hAnsi="Arial" w:cs="Arial"/>
          <w:color w:val="162937"/>
          <w:lang w:eastAsia="pt-BR"/>
        </w:rPr>
        <w:t xml:space="preserve"> </w:t>
      </w:r>
    </w:p>
    <w:p w14:paraId="489A07C4" w14:textId="2FC8AC1F"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Considerando o disposto no inciso I do art. 17 da Lei n</w:t>
      </w:r>
      <w:r w:rsidRPr="00C174E0">
        <w:rPr>
          <w:rFonts w:ascii="Arial" w:eastAsia="Times New Roman" w:hAnsi="Arial" w:cs="Arial"/>
          <w:color w:val="162937"/>
          <w:lang w:eastAsia="pt-BR"/>
        </w:rPr>
        <w:t>º</w:t>
      </w:r>
      <w:r w:rsidRPr="005354AC">
        <w:rPr>
          <w:rFonts w:ascii="Arial" w:eastAsia="Times New Roman" w:hAnsi="Arial" w:cs="Arial"/>
          <w:color w:val="162937"/>
          <w:lang w:eastAsia="pt-BR"/>
        </w:rPr>
        <w:t>10.180, de 6 de fevereiro de 2001, e no inciso I do art. 6</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do Decreto n</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6.976, de 7 de outubro de 2009, que conferem à Secretaria do Tesouro Nacional do Ministério da Economia a condição de órgão central do Sistema de Contabilidade Federal;</w:t>
      </w:r>
    </w:p>
    <w:p w14:paraId="5828D43A" w14:textId="1F99775E"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Considerando as competências do órgão central do Sistema de Contabilidade Federal, estabelecidas no art. 18 da Lei n</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10.180, de 2001, no art. 7</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do Decreto n</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6.976, de 2009, e nos incisos IX, X, XIII, XXI, XXII e XXIII do art. 49 do Anexo I do Decreto n</w:t>
      </w:r>
      <w:r w:rsidRPr="00C174E0">
        <w:rPr>
          <w:rFonts w:ascii="Arial" w:eastAsia="Times New Roman" w:hAnsi="Arial" w:cs="Arial"/>
          <w:color w:val="162937"/>
          <w:lang w:eastAsia="pt-BR"/>
        </w:rPr>
        <w:t xml:space="preserve">º </w:t>
      </w:r>
      <w:r w:rsidRPr="005354AC">
        <w:rPr>
          <w:rFonts w:ascii="Arial" w:eastAsia="Times New Roman" w:hAnsi="Arial" w:cs="Arial"/>
          <w:color w:val="162937"/>
          <w:lang w:eastAsia="pt-BR"/>
        </w:rPr>
        <w:t>9.745, de 08 de abril de 2019;</w:t>
      </w:r>
    </w:p>
    <w:p w14:paraId="31628FBC"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Considerando o disposto no parágrafo único do art. 32 da Lei Complementar nº 141, de 13 de janeiro de 2012;</w:t>
      </w:r>
    </w:p>
    <w:p w14:paraId="2D30F0E5"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Considerando o disposto no art. 163-A da Constituição Federal e no § 2º do art. 48 da Lei Complementar nº 101, de 4 de maio de 2000;</w:t>
      </w:r>
    </w:p>
    <w:p w14:paraId="4996539D" w14:textId="268801AA" w:rsidR="005354AC" w:rsidRPr="00C174E0"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Considerando o disposto na Portaria Conjunta STN/SOF nº 20, de 23 de fevereiro de 2021</w:t>
      </w:r>
      <w:r w:rsidRPr="00C174E0">
        <w:rPr>
          <w:rFonts w:ascii="Arial" w:eastAsia="Times New Roman" w:hAnsi="Arial" w:cs="Arial"/>
          <w:color w:val="162937"/>
          <w:lang w:eastAsia="pt-BR"/>
        </w:rPr>
        <w:t>;</w:t>
      </w:r>
    </w:p>
    <w:p w14:paraId="7D4A8A3C" w14:textId="25110646" w:rsidR="00C174E0" w:rsidRPr="00C174E0" w:rsidRDefault="005354AC" w:rsidP="00F156FE">
      <w:pPr>
        <w:shd w:val="clear" w:color="auto" w:fill="FFFFFF"/>
        <w:spacing w:after="0" w:line="240" w:lineRule="auto"/>
        <w:ind w:firstLine="1200"/>
        <w:jc w:val="both"/>
      </w:pPr>
      <w:r w:rsidRPr="00C174E0">
        <w:rPr>
          <w:rFonts w:ascii="Arial" w:eastAsia="Times New Roman" w:hAnsi="Arial" w:cs="Arial"/>
          <w:color w:val="162937"/>
          <w:lang w:eastAsia="pt-BR"/>
        </w:rPr>
        <w:t>Considerando que a Contadoria Geral do Estado é o órgão responsável pela gestão do Sistema SIAFEM</w:t>
      </w:r>
      <w:r w:rsidR="00F156FE">
        <w:rPr>
          <w:rFonts w:ascii="Arial" w:eastAsia="Times New Roman" w:hAnsi="Arial" w:cs="Arial"/>
          <w:color w:val="162937"/>
          <w:lang w:eastAsia="pt-BR"/>
        </w:rPr>
        <w:t>,</w:t>
      </w:r>
      <w:r w:rsidRPr="00C174E0">
        <w:rPr>
          <w:rFonts w:ascii="Arial" w:eastAsia="Times New Roman" w:hAnsi="Arial" w:cs="Arial"/>
          <w:color w:val="162937"/>
          <w:lang w:eastAsia="pt-BR"/>
        </w:rPr>
        <w:t xml:space="preserve"> conforme definido no</w:t>
      </w:r>
      <w:r w:rsidR="00C174E0" w:rsidRPr="00C174E0">
        <w:rPr>
          <w:rFonts w:ascii="Arial" w:hAnsi="Arial" w:cs="Arial"/>
          <w:color w:val="000000"/>
        </w:rPr>
        <w:t> </w:t>
      </w:r>
      <w:r w:rsidR="00770342">
        <w:rPr>
          <w:rFonts w:ascii="Arial" w:hAnsi="Arial" w:cs="Arial"/>
          <w:color w:val="000000"/>
        </w:rPr>
        <w:t xml:space="preserve">artigo 4º, do </w:t>
      </w:r>
      <w:hyperlink r:id="rId6" w:tgtFrame="_top" w:history="1">
        <w:r w:rsidR="00C174E0" w:rsidRPr="00C174E0">
          <w:rPr>
            <w:rStyle w:val="Hyperlink"/>
            <w:rFonts w:ascii="Arial" w:hAnsi="Arial" w:cs="Arial"/>
            <w:color w:val="000000"/>
            <w:u w:val="none"/>
          </w:rPr>
          <w:t>Decreto n.º 40.566, de 21 de dezembro de 1995</w:t>
        </w:r>
      </w:hyperlink>
      <w:r w:rsidR="00770342">
        <w:t>, resolve:</w:t>
      </w:r>
    </w:p>
    <w:p w14:paraId="27128062" w14:textId="7FEF8A35"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Art. 1º Definir a </w:t>
      </w:r>
      <w:r w:rsidR="00770342">
        <w:rPr>
          <w:rFonts w:ascii="Arial" w:eastAsia="Times New Roman" w:hAnsi="Arial" w:cs="Arial"/>
          <w:color w:val="162937"/>
          <w:lang w:eastAsia="pt-BR"/>
        </w:rPr>
        <w:t xml:space="preserve">nova estrutura de </w:t>
      </w:r>
      <w:r w:rsidRPr="005354AC">
        <w:rPr>
          <w:rFonts w:ascii="Arial" w:eastAsia="Times New Roman" w:hAnsi="Arial" w:cs="Arial"/>
          <w:color w:val="162937"/>
          <w:lang w:eastAsia="pt-BR"/>
        </w:rPr>
        <w:t>classificação por fonte</w:t>
      </w:r>
      <w:r w:rsidR="007D7CBE">
        <w:rPr>
          <w:rFonts w:ascii="Arial" w:eastAsia="Times New Roman" w:hAnsi="Arial" w:cs="Arial"/>
          <w:color w:val="162937"/>
          <w:lang w:eastAsia="pt-BR"/>
        </w:rPr>
        <w:t>s</w:t>
      </w:r>
      <w:r w:rsidRPr="005354AC">
        <w:rPr>
          <w:rFonts w:ascii="Arial" w:eastAsia="Times New Roman" w:hAnsi="Arial" w:cs="Arial"/>
          <w:color w:val="162937"/>
          <w:lang w:eastAsia="pt-BR"/>
        </w:rPr>
        <w:t xml:space="preserve"> ou destinação de recursos a ser utilizada </w:t>
      </w:r>
      <w:r w:rsidR="00770342">
        <w:rPr>
          <w:rFonts w:ascii="Arial" w:eastAsia="Times New Roman" w:hAnsi="Arial" w:cs="Arial"/>
          <w:color w:val="162937"/>
          <w:lang w:eastAsia="pt-BR"/>
        </w:rPr>
        <w:t xml:space="preserve">pelas unidades gestoras do Estado de São Paulo no sistema SIAFEM que atendam </w:t>
      </w:r>
      <w:r w:rsidR="007D7CBE">
        <w:rPr>
          <w:rFonts w:ascii="Arial" w:eastAsia="Times New Roman" w:hAnsi="Arial" w:cs="Arial"/>
          <w:color w:val="162937"/>
          <w:lang w:eastAsia="pt-BR"/>
        </w:rPr>
        <w:t>à</w:t>
      </w:r>
      <w:r w:rsidR="00770342">
        <w:rPr>
          <w:rFonts w:ascii="Arial" w:eastAsia="Times New Roman" w:hAnsi="Arial" w:cs="Arial"/>
          <w:color w:val="162937"/>
          <w:lang w:eastAsia="pt-BR"/>
        </w:rPr>
        <w:t xml:space="preserve">s exigências em conformidade com </w:t>
      </w:r>
      <w:r w:rsidRPr="005354AC">
        <w:rPr>
          <w:rFonts w:ascii="Arial" w:eastAsia="Times New Roman" w:hAnsi="Arial" w:cs="Arial"/>
          <w:color w:val="162937"/>
          <w:lang w:eastAsia="pt-BR"/>
        </w:rPr>
        <w:t>o § 4º do art. 1º da Portaria Conjunta STN/SOF nº 20, de 2021.</w:t>
      </w:r>
    </w:p>
    <w:p w14:paraId="0BD3FAFC" w14:textId="27478F80" w:rsid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§1º A classificação </w:t>
      </w:r>
      <w:r w:rsidR="00F67722">
        <w:rPr>
          <w:rFonts w:ascii="Arial" w:eastAsia="Times New Roman" w:hAnsi="Arial" w:cs="Arial"/>
          <w:color w:val="162937"/>
          <w:lang w:eastAsia="pt-BR"/>
        </w:rPr>
        <w:t xml:space="preserve">principal na estrutura do SIAFEM </w:t>
      </w:r>
      <w:r w:rsidRPr="005354AC">
        <w:rPr>
          <w:rFonts w:ascii="Arial" w:eastAsia="Times New Roman" w:hAnsi="Arial" w:cs="Arial"/>
          <w:color w:val="162937"/>
          <w:lang w:eastAsia="pt-BR"/>
        </w:rPr>
        <w:t xml:space="preserve">a que se refere o caput consta do Anexo I desta Portaria e é de observância obrigatória </w:t>
      </w:r>
      <w:r w:rsidR="00F67722">
        <w:rPr>
          <w:rFonts w:ascii="Arial" w:eastAsia="Times New Roman" w:hAnsi="Arial" w:cs="Arial"/>
          <w:color w:val="162937"/>
          <w:lang w:eastAsia="pt-BR"/>
        </w:rPr>
        <w:t>no</w:t>
      </w:r>
      <w:r w:rsidRPr="005354AC">
        <w:rPr>
          <w:rFonts w:ascii="Arial" w:eastAsia="Times New Roman" w:hAnsi="Arial" w:cs="Arial"/>
          <w:color w:val="162937"/>
          <w:lang w:eastAsia="pt-BR"/>
        </w:rPr>
        <w:t xml:space="preserve"> Estado</w:t>
      </w:r>
      <w:r w:rsidR="00F67722">
        <w:rPr>
          <w:rFonts w:ascii="Arial" w:eastAsia="Times New Roman" w:hAnsi="Arial" w:cs="Arial"/>
          <w:color w:val="162937"/>
          <w:lang w:eastAsia="pt-BR"/>
        </w:rPr>
        <w:t xml:space="preserve"> de São Paulo</w:t>
      </w:r>
      <w:r w:rsidRPr="005354AC">
        <w:rPr>
          <w:rFonts w:ascii="Arial" w:eastAsia="Times New Roman" w:hAnsi="Arial" w:cs="Arial"/>
          <w:color w:val="162937"/>
          <w:lang w:eastAsia="pt-BR"/>
        </w:rPr>
        <w:t>, considerando o disposto no art. 3º da Portaria Conjunta STN/SOF nº 20, de 2021.</w:t>
      </w:r>
    </w:p>
    <w:p w14:paraId="572BB742" w14:textId="77777777" w:rsidR="00092F3B" w:rsidRDefault="00092F3B" w:rsidP="00F156FE">
      <w:pPr>
        <w:pStyle w:val="dou-paragraph"/>
        <w:shd w:val="clear" w:color="auto" w:fill="FFFFFF"/>
        <w:spacing w:before="0" w:beforeAutospacing="0" w:after="0" w:afterAutospacing="0"/>
        <w:ind w:firstLine="1200"/>
        <w:jc w:val="both"/>
        <w:rPr>
          <w:rFonts w:ascii="Arial" w:hAnsi="Arial" w:cs="Arial"/>
          <w:color w:val="162937"/>
        </w:rPr>
      </w:pPr>
      <w:r>
        <w:rPr>
          <w:rFonts w:ascii="Arial" w:hAnsi="Arial" w:cs="Arial"/>
          <w:color w:val="162937"/>
        </w:rPr>
        <w:t xml:space="preserve">I- </w:t>
      </w:r>
      <w:proofErr w:type="gramStart"/>
      <w:r>
        <w:rPr>
          <w:rFonts w:ascii="Arial" w:hAnsi="Arial" w:cs="Arial"/>
          <w:color w:val="162937"/>
        </w:rPr>
        <w:t>de</w:t>
      </w:r>
      <w:proofErr w:type="gramEnd"/>
      <w:r>
        <w:rPr>
          <w:rFonts w:ascii="Arial" w:hAnsi="Arial" w:cs="Arial"/>
          <w:color w:val="162937"/>
        </w:rPr>
        <w:t xml:space="preserve"> forma obrigatória a partir do exercício de 2023, incluindo a elaboração, em 2022, do Projeto de Lei de Diretrizes Orçamentárias - PLDO e do Projeto de Lei Orçamentária Anual - PLOA, referentes ao exercício de 2023; e</w:t>
      </w:r>
    </w:p>
    <w:p w14:paraId="43224242" w14:textId="370F4E7B" w:rsidR="00092F3B" w:rsidRDefault="00092F3B" w:rsidP="00F156FE">
      <w:pPr>
        <w:pStyle w:val="dou-paragraph"/>
        <w:shd w:val="clear" w:color="auto" w:fill="FFFFFF"/>
        <w:spacing w:before="0" w:beforeAutospacing="0" w:after="0" w:afterAutospacing="0"/>
        <w:ind w:firstLine="1200"/>
        <w:jc w:val="both"/>
        <w:rPr>
          <w:rFonts w:ascii="Arial" w:hAnsi="Arial" w:cs="Arial"/>
          <w:color w:val="162937"/>
        </w:rPr>
      </w:pPr>
      <w:r>
        <w:rPr>
          <w:rFonts w:ascii="Arial" w:hAnsi="Arial" w:cs="Arial"/>
          <w:color w:val="162937"/>
        </w:rPr>
        <w:t xml:space="preserve">II- </w:t>
      </w:r>
      <w:proofErr w:type="gramStart"/>
      <w:r>
        <w:rPr>
          <w:rFonts w:ascii="Arial" w:hAnsi="Arial" w:cs="Arial"/>
          <w:color w:val="162937"/>
        </w:rPr>
        <w:t>de</w:t>
      </w:r>
      <w:proofErr w:type="gramEnd"/>
      <w:r>
        <w:rPr>
          <w:rFonts w:ascii="Arial" w:hAnsi="Arial" w:cs="Arial"/>
          <w:color w:val="162937"/>
        </w:rPr>
        <w:t xml:space="preserve"> forma facultativa na execução orçamentária referente ao exercício de 2022, sendo permitida a utilização do mecanismo de "</w:t>
      </w:r>
      <w:proofErr w:type="spellStart"/>
      <w:r>
        <w:rPr>
          <w:rFonts w:ascii="Arial" w:hAnsi="Arial" w:cs="Arial"/>
          <w:color w:val="162937"/>
        </w:rPr>
        <w:t>de-para</w:t>
      </w:r>
      <w:proofErr w:type="spellEnd"/>
      <w:r>
        <w:rPr>
          <w:rFonts w:ascii="Arial" w:hAnsi="Arial" w:cs="Arial"/>
          <w:color w:val="162937"/>
        </w:rPr>
        <w:t>" para o envio das informações à Secretaria do Tesouro Nacional, observando o formato definido na Portaria 710/2021.</w:t>
      </w:r>
    </w:p>
    <w:p w14:paraId="5E503EAE" w14:textId="53F858B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 2º </w:t>
      </w:r>
      <w:r w:rsidR="00F156FE">
        <w:rPr>
          <w:rFonts w:ascii="Arial" w:eastAsia="Times New Roman" w:hAnsi="Arial" w:cs="Arial"/>
          <w:color w:val="162937"/>
          <w:lang w:eastAsia="pt-BR"/>
        </w:rPr>
        <w:t>A</w:t>
      </w:r>
      <w:r w:rsidR="00DC05A9">
        <w:rPr>
          <w:rFonts w:ascii="Arial" w:eastAsia="Times New Roman" w:hAnsi="Arial" w:cs="Arial"/>
          <w:color w:val="162937"/>
          <w:lang w:eastAsia="pt-BR"/>
        </w:rPr>
        <w:t xml:space="preserve"> estrutura definida no par</w:t>
      </w:r>
      <w:r w:rsidR="00F156FE">
        <w:rPr>
          <w:rFonts w:ascii="Arial" w:eastAsia="Times New Roman" w:hAnsi="Arial" w:cs="Arial"/>
          <w:color w:val="162937"/>
          <w:lang w:eastAsia="pt-BR"/>
        </w:rPr>
        <w:t>á</w:t>
      </w:r>
      <w:r w:rsidR="00DC05A9">
        <w:rPr>
          <w:rFonts w:ascii="Arial" w:eastAsia="Times New Roman" w:hAnsi="Arial" w:cs="Arial"/>
          <w:color w:val="162937"/>
          <w:lang w:eastAsia="pt-BR"/>
        </w:rPr>
        <w:t>grafo 1º desta portaria deverá atender o</w:t>
      </w:r>
      <w:r w:rsidRPr="005354AC">
        <w:rPr>
          <w:rFonts w:ascii="Arial" w:eastAsia="Times New Roman" w:hAnsi="Arial" w:cs="Arial"/>
          <w:color w:val="162937"/>
          <w:lang w:eastAsia="pt-BR"/>
        </w:rPr>
        <w:t xml:space="preserve"> formato de envio das informações a que se refere o § 2º do art. 2º da Portaria Conjunta STN/SOF nº 20, de 2021, </w:t>
      </w:r>
      <w:r w:rsidR="00DC05A9">
        <w:rPr>
          <w:rFonts w:ascii="Arial" w:eastAsia="Times New Roman" w:hAnsi="Arial" w:cs="Arial"/>
          <w:color w:val="162937"/>
          <w:lang w:eastAsia="pt-BR"/>
        </w:rPr>
        <w:t xml:space="preserve">conforme </w:t>
      </w:r>
      <w:r w:rsidRPr="005354AC">
        <w:rPr>
          <w:rFonts w:ascii="Arial" w:eastAsia="Times New Roman" w:hAnsi="Arial" w:cs="Arial"/>
          <w:color w:val="162937"/>
          <w:lang w:eastAsia="pt-BR"/>
        </w:rPr>
        <w:t>definido no Anexo II desta Portaria.</w:t>
      </w:r>
    </w:p>
    <w:p w14:paraId="47818EB3" w14:textId="1B42B8C3" w:rsid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3º As informações definidas no Anexo II desta Portaria deverão ser enviadas ao Sistema de Informações Contábeis e Fiscais do Setor Público Brasileiro - S</w:t>
      </w:r>
      <w:r w:rsidR="0031261F">
        <w:rPr>
          <w:rFonts w:ascii="Arial" w:eastAsia="Times New Roman" w:hAnsi="Arial" w:cs="Arial"/>
          <w:color w:val="162937"/>
          <w:lang w:eastAsia="pt-BR"/>
        </w:rPr>
        <w:t>ICONFI</w:t>
      </w:r>
      <w:r w:rsidRPr="005354AC">
        <w:rPr>
          <w:rFonts w:ascii="Arial" w:eastAsia="Times New Roman" w:hAnsi="Arial" w:cs="Arial"/>
          <w:color w:val="162937"/>
          <w:lang w:eastAsia="pt-BR"/>
        </w:rPr>
        <w:t>, ou sistema que vier a substitui-lo, por meio da Matriz de Saldos Contábeis - MSC.</w:t>
      </w:r>
    </w:p>
    <w:p w14:paraId="2A7E5BF5" w14:textId="175F337F" w:rsidR="00BC7B8E" w:rsidRDefault="00DE3E63" w:rsidP="00F156FE">
      <w:pPr>
        <w:shd w:val="clear" w:color="auto" w:fill="FFFFFF"/>
        <w:spacing w:after="0" w:line="240" w:lineRule="auto"/>
        <w:ind w:firstLine="1200"/>
        <w:jc w:val="both"/>
        <w:rPr>
          <w:rFonts w:ascii="Arial" w:eastAsia="Times New Roman" w:hAnsi="Arial" w:cs="Arial"/>
          <w:color w:val="162937"/>
          <w:lang w:eastAsia="pt-BR"/>
        </w:rPr>
      </w:pPr>
      <w:r>
        <w:rPr>
          <w:rFonts w:ascii="Arial" w:eastAsia="Times New Roman" w:hAnsi="Arial" w:cs="Arial"/>
          <w:color w:val="162937"/>
          <w:lang w:eastAsia="pt-BR"/>
        </w:rPr>
        <w:t xml:space="preserve">Art. 2º </w:t>
      </w:r>
      <w:r w:rsidR="00B73AC1">
        <w:rPr>
          <w:rFonts w:ascii="Arial" w:eastAsia="Times New Roman" w:hAnsi="Arial" w:cs="Arial"/>
          <w:color w:val="162937"/>
          <w:lang w:eastAsia="pt-BR"/>
        </w:rPr>
        <w:t xml:space="preserve">Fica alterada a estrutura de codificação </w:t>
      </w:r>
      <w:r>
        <w:rPr>
          <w:rFonts w:ascii="Arial" w:eastAsia="Times New Roman" w:hAnsi="Arial" w:cs="Arial"/>
          <w:color w:val="162937"/>
          <w:lang w:eastAsia="pt-BR"/>
        </w:rPr>
        <w:t xml:space="preserve">a partir do 5º digito da estrutura de fontes ou destinação de recursos </w:t>
      </w:r>
      <w:r w:rsidR="003A31FD">
        <w:rPr>
          <w:rFonts w:ascii="Arial" w:eastAsia="Times New Roman" w:hAnsi="Arial" w:cs="Arial"/>
          <w:color w:val="162937"/>
          <w:lang w:eastAsia="pt-BR"/>
        </w:rPr>
        <w:t xml:space="preserve">do SIAFEM </w:t>
      </w:r>
      <w:r>
        <w:rPr>
          <w:rFonts w:ascii="Arial" w:eastAsia="Times New Roman" w:hAnsi="Arial" w:cs="Arial"/>
          <w:color w:val="162937"/>
          <w:lang w:eastAsia="pt-BR"/>
        </w:rPr>
        <w:t>passa</w:t>
      </w:r>
      <w:r w:rsidR="00B73AC1">
        <w:rPr>
          <w:rFonts w:ascii="Arial" w:eastAsia="Times New Roman" w:hAnsi="Arial" w:cs="Arial"/>
          <w:color w:val="162937"/>
          <w:lang w:eastAsia="pt-BR"/>
        </w:rPr>
        <w:t>ndo</w:t>
      </w:r>
      <w:r>
        <w:rPr>
          <w:rFonts w:ascii="Arial" w:eastAsia="Times New Roman" w:hAnsi="Arial" w:cs="Arial"/>
          <w:color w:val="162937"/>
          <w:lang w:eastAsia="pt-BR"/>
        </w:rPr>
        <w:t xml:space="preserve"> a vigorar a nova </w:t>
      </w:r>
      <w:r>
        <w:rPr>
          <w:rFonts w:ascii="Arial" w:eastAsia="Times New Roman" w:hAnsi="Arial" w:cs="Arial"/>
          <w:color w:val="162937"/>
          <w:lang w:eastAsia="pt-BR"/>
        </w:rPr>
        <w:lastRenderedPageBreak/>
        <w:t>estrutura de detalhamento para os controles</w:t>
      </w:r>
      <w:r w:rsidR="00C62D4D">
        <w:rPr>
          <w:rFonts w:ascii="Arial" w:eastAsia="Times New Roman" w:hAnsi="Arial" w:cs="Arial"/>
          <w:color w:val="162937"/>
          <w:lang w:eastAsia="pt-BR"/>
        </w:rPr>
        <w:t xml:space="preserve"> necessários </w:t>
      </w:r>
      <w:r w:rsidR="003A31FD">
        <w:rPr>
          <w:rFonts w:ascii="Arial" w:eastAsia="Times New Roman" w:hAnsi="Arial" w:cs="Arial"/>
          <w:color w:val="162937"/>
          <w:lang w:eastAsia="pt-BR"/>
        </w:rPr>
        <w:t>às</w:t>
      </w:r>
      <w:r w:rsidR="00C62D4D">
        <w:rPr>
          <w:rFonts w:ascii="Arial" w:eastAsia="Times New Roman" w:hAnsi="Arial" w:cs="Arial"/>
          <w:color w:val="162937"/>
          <w:lang w:eastAsia="pt-BR"/>
        </w:rPr>
        <w:t xml:space="preserve"> informações </w:t>
      </w:r>
      <w:r w:rsidR="003A31FD">
        <w:rPr>
          <w:rFonts w:ascii="Arial" w:eastAsia="Times New Roman" w:hAnsi="Arial" w:cs="Arial"/>
          <w:color w:val="162937"/>
          <w:lang w:eastAsia="pt-BR"/>
        </w:rPr>
        <w:t>específicas do Estado conforme estabelecido nas regras do ANEXO III</w:t>
      </w:r>
      <w:r w:rsidR="00B73AC1">
        <w:rPr>
          <w:rFonts w:ascii="Arial" w:eastAsia="Times New Roman" w:hAnsi="Arial" w:cs="Arial"/>
          <w:color w:val="162937"/>
          <w:lang w:eastAsia="pt-BR"/>
        </w:rPr>
        <w:t xml:space="preserve"> desta Portaria</w:t>
      </w:r>
      <w:r w:rsidR="004E4495">
        <w:rPr>
          <w:rFonts w:ascii="Arial" w:eastAsia="Times New Roman" w:hAnsi="Arial" w:cs="Arial"/>
          <w:color w:val="162937"/>
          <w:lang w:eastAsia="pt-BR"/>
        </w:rPr>
        <w:t>.</w:t>
      </w:r>
    </w:p>
    <w:p w14:paraId="140343F7" w14:textId="3A4744DC" w:rsidR="004E4495" w:rsidRDefault="004E4495" w:rsidP="00F156FE">
      <w:pPr>
        <w:shd w:val="clear" w:color="auto" w:fill="FFFFFF"/>
        <w:spacing w:after="0" w:line="240" w:lineRule="auto"/>
        <w:ind w:firstLine="1200"/>
        <w:jc w:val="both"/>
        <w:rPr>
          <w:rFonts w:ascii="Arial" w:eastAsia="Times New Roman" w:hAnsi="Arial" w:cs="Arial"/>
          <w:color w:val="162937"/>
          <w:lang w:eastAsia="pt-BR"/>
        </w:rPr>
      </w:pPr>
      <w:r>
        <w:rPr>
          <w:rFonts w:ascii="Arial" w:eastAsia="Times New Roman" w:hAnsi="Arial" w:cs="Arial"/>
          <w:color w:val="162937"/>
          <w:lang w:eastAsia="pt-BR"/>
        </w:rPr>
        <w:t xml:space="preserve">Art. 3º </w:t>
      </w:r>
      <w:r w:rsidRPr="004E4495">
        <w:rPr>
          <w:rFonts w:ascii="Arial" w:eastAsia="Times New Roman" w:hAnsi="Arial" w:cs="Arial"/>
          <w:color w:val="162937"/>
          <w:lang w:eastAsia="pt-BR"/>
        </w:rPr>
        <w:t>Esta Portaria entra em vigor na data de sua publicação, observando-se os prazos estabelecidos no art. 3º da Portaria Conjunta ST</w:t>
      </w:r>
      <w:r w:rsidR="002205FA">
        <w:rPr>
          <w:rFonts w:ascii="Arial" w:eastAsia="Times New Roman" w:hAnsi="Arial" w:cs="Arial"/>
          <w:color w:val="162937"/>
          <w:lang w:eastAsia="pt-BR"/>
        </w:rPr>
        <w:t>N</w:t>
      </w:r>
      <w:r w:rsidRPr="004E4495">
        <w:rPr>
          <w:rFonts w:ascii="Arial" w:eastAsia="Times New Roman" w:hAnsi="Arial" w:cs="Arial"/>
          <w:color w:val="162937"/>
          <w:lang w:eastAsia="pt-BR"/>
        </w:rPr>
        <w:t xml:space="preserve">/SOF nº 20, de 23 de fevereiro de 2021. </w:t>
      </w:r>
      <w:r>
        <w:rPr>
          <w:rFonts w:ascii="Arial" w:eastAsia="Times New Roman" w:hAnsi="Arial" w:cs="Arial"/>
          <w:color w:val="162937"/>
          <w:lang w:eastAsia="pt-BR"/>
        </w:rPr>
        <w:t xml:space="preserve"> </w:t>
      </w:r>
    </w:p>
    <w:p w14:paraId="5B298ED3" w14:textId="64592BDD" w:rsidR="00B73AC1" w:rsidRDefault="00B73AC1" w:rsidP="00F156FE">
      <w:pPr>
        <w:shd w:val="clear" w:color="auto" w:fill="FFFFFF"/>
        <w:spacing w:after="0" w:line="240" w:lineRule="auto"/>
        <w:ind w:firstLine="1200"/>
        <w:jc w:val="both"/>
        <w:rPr>
          <w:rFonts w:ascii="Arial" w:eastAsia="Times New Roman" w:hAnsi="Arial" w:cs="Arial"/>
          <w:color w:val="162937"/>
          <w:lang w:eastAsia="pt-BR"/>
        </w:rPr>
      </w:pPr>
    </w:p>
    <w:p w14:paraId="4BF496C0" w14:textId="77777777" w:rsidR="00B73AC1" w:rsidRDefault="00B73AC1" w:rsidP="00F156FE">
      <w:pPr>
        <w:shd w:val="clear" w:color="auto" w:fill="FFFFFF"/>
        <w:spacing w:after="0" w:line="240" w:lineRule="auto"/>
        <w:ind w:firstLine="1200"/>
        <w:jc w:val="both"/>
        <w:rPr>
          <w:rFonts w:ascii="Arial" w:eastAsia="Times New Roman" w:hAnsi="Arial" w:cs="Arial"/>
          <w:color w:val="162937"/>
          <w:lang w:eastAsia="pt-BR"/>
        </w:rPr>
      </w:pPr>
    </w:p>
    <w:p w14:paraId="3FAC03B4" w14:textId="5CE5DD02" w:rsidR="00BC7B8E" w:rsidRDefault="00BC7B8E" w:rsidP="00F156FE">
      <w:pPr>
        <w:shd w:val="clear" w:color="auto" w:fill="FFFFFF"/>
        <w:spacing w:after="0" w:line="240" w:lineRule="auto"/>
        <w:ind w:firstLine="1200"/>
        <w:jc w:val="both"/>
        <w:rPr>
          <w:rFonts w:ascii="Arial" w:eastAsia="Times New Roman" w:hAnsi="Arial" w:cs="Arial"/>
          <w:color w:val="162937"/>
          <w:lang w:eastAsia="pt-BR"/>
        </w:rPr>
      </w:pPr>
    </w:p>
    <w:p w14:paraId="795C8FDB" w14:textId="75BE1F83" w:rsidR="000F42AE" w:rsidRPr="000F42AE" w:rsidRDefault="000F42AE" w:rsidP="00F156FE">
      <w:pPr>
        <w:shd w:val="clear" w:color="auto" w:fill="FFFFFF"/>
        <w:spacing w:after="0" w:line="240" w:lineRule="auto"/>
        <w:ind w:firstLine="1202"/>
        <w:jc w:val="center"/>
        <w:rPr>
          <w:rFonts w:ascii="Arial" w:eastAsia="Times New Roman" w:hAnsi="Arial" w:cs="Arial"/>
          <w:b/>
          <w:bCs/>
          <w:color w:val="162937"/>
          <w:lang w:eastAsia="pt-BR"/>
        </w:rPr>
      </w:pPr>
      <w:r w:rsidRPr="000F42AE">
        <w:rPr>
          <w:rFonts w:ascii="Arial" w:eastAsia="Times New Roman" w:hAnsi="Arial" w:cs="Arial"/>
          <w:b/>
          <w:bCs/>
          <w:color w:val="162937"/>
          <w:lang w:eastAsia="pt-BR"/>
        </w:rPr>
        <w:t>Gilberto Souza Matos</w:t>
      </w:r>
    </w:p>
    <w:p w14:paraId="19CBEA31" w14:textId="3DD8B297" w:rsidR="000F42AE" w:rsidRDefault="000F42AE" w:rsidP="00F156FE">
      <w:pPr>
        <w:shd w:val="clear" w:color="auto" w:fill="FFFFFF"/>
        <w:spacing w:after="0" w:line="240" w:lineRule="auto"/>
        <w:ind w:firstLine="1202"/>
        <w:jc w:val="center"/>
        <w:rPr>
          <w:rFonts w:ascii="Arial" w:eastAsia="Times New Roman" w:hAnsi="Arial" w:cs="Arial"/>
          <w:color w:val="162937"/>
          <w:lang w:eastAsia="pt-BR"/>
        </w:rPr>
      </w:pPr>
      <w:r>
        <w:rPr>
          <w:rFonts w:ascii="Arial" w:eastAsia="Times New Roman" w:hAnsi="Arial" w:cs="Arial"/>
          <w:color w:val="162937"/>
          <w:lang w:eastAsia="pt-BR"/>
        </w:rPr>
        <w:t>Contador Geral da Fazenda Estadual</w:t>
      </w:r>
    </w:p>
    <w:p w14:paraId="3D481DA7" w14:textId="12A65E7F" w:rsidR="00807E44" w:rsidRDefault="00807E44" w:rsidP="00F156FE">
      <w:pPr>
        <w:shd w:val="clear" w:color="auto" w:fill="FFFFFF"/>
        <w:spacing w:after="0" w:line="240" w:lineRule="auto"/>
        <w:ind w:firstLine="1202"/>
        <w:jc w:val="center"/>
        <w:rPr>
          <w:rFonts w:ascii="Arial" w:eastAsia="Times New Roman" w:hAnsi="Arial" w:cs="Arial"/>
          <w:color w:val="162937"/>
          <w:lang w:eastAsia="pt-BR"/>
        </w:rPr>
      </w:pPr>
    </w:p>
    <w:p w14:paraId="1383E4EA" w14:textId="45F19004" w:rsidR="00807E44" w:rsidRDefault="00807E44" w:rsidP="00F156FE">
      <w:pPr>
        <w:shd w:val="clear" w:color="auto" w:fill="FFFFFF"/>
        <w:spacing w:after="0" w:line="240" w:lineRule="auto"/>
        <w:ind w:firstLine="1202"/>
        <w:jc w:val="center"/>
        <w:rPr>
          <w:rFonts w:ascii="Arial" w:eastAsia="Times New Roman" w:hAnsi="Arial" w:cs="Arial"/>
          <w:color w:val="162937"/>
          <w:lang w:eastAsia="pt-BR"/>
        </w:rPr>
      </w:pPr>
    </w:p>
    <w:p w14:paraId="5F2ECD55" w14:textId="77777777" w:rsidR="00807E44" w:rsidRDefault="00807E44" w:rsidP="00F156FE">
      <w:pPr>
        <w:shd w:val="clear" w:color="auto" w:fill="FFFFFF"/>
        <w:spacing w:after="0" w:line="240" w:lineRule="auto"/>
        <w:ind w:firstLine="1202"/>
        <w:jc w:val="center"/>
        <w:rPr>
          <w:rFonts w:ascii="Arial" w:eastAsia="Times New Roman" w:hAnsi="Arial" w:cs="Arial"/>
          <w:color w:val="162937"/>
          <w:lang w:eastAsia="pt-BR"/>
        </w:rPr>
      </w:pPr>
    </w:p>
    <w:p w14:paraId="188179AD" w14:textId="77777777" w:rsidR="000F42AE" w:rsidRPr="005354AC" w:rsidRDefault="000F42AE" w:rsidP="00F156FE">
      <w:pPr>
        <w:shd w:val="clear" w:color="auto" w:fill="FFFFFF"/>
        <w:spacing w:after="0" w:line="240" w:lineRule="auto"/>
        <w:ind w:firstLine="1200"/>
        <w:jc w:val="both"/>
        <w:rPr>
          <w:rFonts w:ascii="Arial" w:eastAsia="Times New Roman" w:hAnsi="Arial" w:cs="Arial"/>
          <w:color w:val="162937"/>
          <w:lang w:eastAsia="pt-BR"/>
        </w:rPr>
      </w:pPr>
    </w:p>
    <w:p w14:paraId="4443E678" w14:textId="5ECD7DF1" w:rsidR="005354AC" w:rsidRPr="00B73AC1" w:rsidRDefault="005354AC" w:rsidP="00F156FE">
      <w:pPr>
        <w:shd w:val="clear" w:color="auto" w:fill="FFFFFF"/>
        <w:spacing w:after="0" w:line="240" w:lineRule="auto"/>
        <w:ind w:firstLine="1200"/>
        <w:jc w:val="both"/>
        <w:rPr>
          <w:rFonts w:ascii="Arial" w:eastAsia="Times New Roman" w:hAnsi="Arial" w:cs="Arial"/>
          <w:b/>
          <w:bCs/>
          <w:color w:val="162937"/>
          <w:lang w:eastAsia="pt-BR"/>
        </w:rPr>
      </w:pPr>
      <w:r w:rsidRPr="00B73AC1">
        <w:rPr>
          <w:rFonts w:ascii="Arial" w:eastAsia="Times New Roman" w:hAnsi="Arial" w:cs="Arial"/>
          <w:b/>
          <w:bCs/>
          <w:color w:val="162937"/>
          <w:lang w:eastAsia="pt-BR"/>
        </w:rPr>
        <w:t>ANEXO I</w:t>
      </w:r>
    </w:p>
    <w:p w14:paraId="7BED7483" w14:textId="4C07E75A"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Classificação por fonte ou destinação de recursos para Estados, Distrito Federal e Municípios</w:t>
      </w:r>
      <w:r w:rsidR="00B73AC1">
        <w:rPr>
          <w:rFonts w:ascii="Arial" w:eastAsia="Times New Roman" w:hAnsi="Arial" w:cs="Arial"/>
          <w:color w:val="162937"/>
          <w:lang w:eastAsia="pt-BR"/>
        </w:rPr>
        <w:t xml:space="preserve">, consoante Portaria STN 710/2021 </w:t>
      </w:r>
    </w:p>
    <w:tbl>
      <w:tblPr>
        <w:tblW w:w="0" w:type="auto"/>
        <w:tblCellMar>
          <w:top w:w="15" w:type="dxa"/>
          <w:left w:w="15" w:type="dxa"/>
          <w:bottom w:w="15" w:type="dxa"/>
          <w:right w:w="15" w:type="dxa"/>
        </w:tblCellMar>
        <w:tblLook w:val="04A0" w:firstRow="1" w:lastRow="0" w:firstColumn="1" w:lastColumn="0" w:noHBand="0" w:noVBand="1"/>
      </w:tblPr>
      <w:tblGrid>
        <w:gridCol w:w="420"/>
        <w:gridCol w:w="3470"/>
        <w:gridCol w:w="4614"/>
      </w:tblGrid>
      <w:tr w:rsidR="005354AC" w:rsidRPr="005354AC" w14:paraId="7727E13F" w14:textId="77777777" w:rsidTr="005354AC">
        <w:trPr>
          <w:gridAfter w:val="2"/>
        </w:trPr>
        <w:tc>
          <w:tcPr>
            <w:tcW w:w="0" w:type="auto"/>
            <w:vAlign w:val="center"/>
            <w:hideMark/>
          </w:tcPr>
          <w:p w14:paraId="5F9BCD82" w14:textId="77777777" w:rsidR="005354AC" w:rsidRPr="005354AC" w:rsidRDefault="005354AC" w:rsidP="00F156FE">
            <w:pPr>
              <w:spacing w:after="0" w:line="240" w:lineRule="auto"/>
              <w:rPr>
                <w:rFonts w:ascii="Arial" w:eastAsia="Times New Roman" w:hAnsi="Arial" w:cs="Arial"/>
                <w:color w:val="162937"/>
                <w:lang w:eastAsia="pt-BR"/>
              </w:rPr>
            </w:pPr>
          </w:p>
        </w:tc>
      </w:tr>
      <w:tr w:rsidR="005354AC" w:rsidRPr="005354AC" w14:paraId="2150C962"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F912B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b/>
                <w:bCs/>
                <w:lang w:eastAsia="pt-BR"/>
              </w:rPr>
              <w:t>BLOCO DAS VINCULAÇÕES DOS ESTADOS, DISTRITO FEDERAL E MUNICÍPIOS (códigos de 500 a 999)</w:t>
            </w:r>
          </w:p>
        </w:tc>
      </w:tr>
      <w:tr w:rsidR="005354AC" w:rsidRPr="005354AC" w14:paraId="4BC093D2"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4A7D9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LIVRES (NÃO VINCULADOS)</w:t>
            </w:r>
          </w:p>
        </w:tc>
      </w:tr>
      <w:tr w:rsidR="005354AC" w:rsidRPr="005354AC" w14:paraId="79EA01A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F3BF3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FACE2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não Vinculados de Impostos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C4C5E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impostos e transferências de impostos de livre aplicação. Em atendimento ao disposto no inciso X do art. 4º da Lei Complementar nº 141, de 13 de janeiro de 2012, para identificação do percentual mínimo aplicado em ASPS, essa fonte de recursos deverá ser associada ao marcador que identifica as despesas que podem ser consideradas para esse limite. A mesma lógica será utilizada para a identificação do percentual mínimo de aplicação em MDE.</w:t>
            </w:r>
          </w:p>
        </w:tc>
      </w:tr>
      <w:tr w:rsidR="005354AC" w:rsidRPr="005354AC" w14:paraId="168542E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4EDE8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BBBFF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não Vinculados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C0B8F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não vinculados que não se enquadram na especificação acima.</w:t>
            </w:r>
          </w:p>
        </w:tc>
      </w:tr>
      <w:tr w:rsidR="005354AC" w:rsidRPr="005354AC" w14:paraId="3AC2044C"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63BFC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À EDUCAÇÃO</w:t>
            </w:r>
          </w:p>
        </w:tc>
      </w:tr>
      <w:tr w:rsidR="005354AC" w:rsidRPr="005354AC" w14:paraId="220906D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2BB5D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540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ECF2D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FUNDEB - Impostos e Transferências de Impostos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2C2EB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recebidos do FUNDEB referente à repartição dentro de cada Estado, com base nos incisos I, II e III do art. 212-A da Constituição Federal. Na fase da despesa, quando for o caso, será necessário associar esta fonte ao marcador do percentual de aplicação no pagamento da remuneração dos profissionais da educação básica em efetivo exercício para identificar o cumprimento do percentual mínimo de 70% estabelecido no inciso XI do art. 212-A da CF.</w:t>
            </w:r>
          </w:p>
        </w:tc>
      </w:tr>
      <w:tr w:rsidR="005354AC" w:rsidRPr="005354AC" w14:paraId="0A65134E"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57155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DB1BF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FUNDEB - Complementação da União - VAAF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CC159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 xml:space="preserve">Controle dos recursos de complementação da União ao FUNDEB - VAAF, com base na alínea a do inciso V do art. 212-A da Constituição Federal. Na fase da despesa, quando for o caso, será necessário associar esta fonte ao marcador do percentual de aplicação no pagamento da remuneração dos profissionais da educação básica em efetivo exercício para identificar o </w:t>
            </w:r>
            <w:r w:rsidRPr="005354AC">
              <w:rPr>
                <w:rFonts w:ascii="Times New Roman" w:eastAsia="Times New Roman" w:hAnsi="Times New Roman" w:cs="Times New Roman"/>
                <w:lang w:eastAsia="pt-BR"/>
              </w:rPr>
              <w:lastRenderedPageBreak/>
              <w:t>cumprimento do percentual mínimo de 70% estabelecido no inciso XI do art. 212-A da CF.</w:t>
            </w:r>
          </w:p>
        </w:tc>
      </w:tr>
      <w:tr w:rsidR="005354AC" w:rsidRPr="005354AC" w14:paraId="63E64FB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A25BD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542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A961E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FUNDEB - Complementação da União - VAAT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1CBF5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complementação da União ao FUNDEB - VAAT, com base na alínea b do inciso V do art. 212-A da Constituição Federal. Na fase da despesa, quando for o caso, será necessário associar esta fonte ao marcador do percentual de aplicação no pagamento da remuneração dos profissionais da educação básica em efetivo exercício para identificar o cumprimento do percentual mínimo de 70% estabelecido no inciso XI do art. 212-A da CF.</w:t>
            </w:r>
          </w:p>
        </w:tc>
      </w:tr>
      <w:tr w:rsidR="005354AC" w:rsidRPr="005354AC" w14:paraId="4D3CD60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8C0B4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994B5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FUNDEB - Complementação da União - VAAR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EBB99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complementação da União ao FUNDEB - VAAR, com base na alínea c, inciso V do art. 212-A da Constituição Federal.</w:t>
            </w:r>
          </w:p>
        </w:tc>
      </w:tr>
      <w:tr w:rsidR="005354AC" w:rsidRPr="005354AC" w14:paraId="68343EA2"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EB15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544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A18C0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Precatórios do FUNDEF</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85C06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decorrentes do recebimento de precatórios derivados de ações judiciais associadas à complementação devida pela União ao Fundo de Manutenção e Desenvolvimento do Ensino Fundamental e de Valorização do Magistério dos demais entes federados (Precatórios Fundef).</w:t>
            </w:r>
          </w:p>
        </w:tc>
      </w:tr>
      <w:tr w:rsidR="005354AC" w:rsidRPr="005354AC" w14:paraId="1C2A162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53C4A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AC723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 do Salário-Educação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A78F1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recebidas do Fundo Nacional do Desenvolvimento da Educação - FNDE, relativos aos repasses referentes ao salário-educação.</w:t>
            </w:r>
          </w:p>
        </w:tc>
      </w:tr>
      <w:tr w:rsidR="005354AC" w:rsidRPr="005354AC" w14:paraId="2E3BAA2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A11FC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4DCD7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Recursos do FNDE referentes ao Programa Dinheiro Direto na Escola (PDDE)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CF5D5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do Desenvolvimento da Educação - FNDE, destinados ao Programa Dinheiro Direto na Escola (PDDE).</w:t>
            </w:r>
          </w:p>
        </w:tc>
      </w:tr>
      <w:tr w:rsidR="005354AC" w:rsidRPr="005354AC" w14:paraId="20021B2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FC00E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BA5AC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Recursos do FNDE referentes ao Programa Nacional de Alimentação Escolar (PNAE)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38FB0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do Desenvolvimento da Educação - FNDE, destinados ao Programa Nacional de Alimentação Escolar (PNAE).</w:t>
            </w:r>
          </w:p>
        </w:tc>
      </w:tr>
      <w:tr w:rsidR="005354AC" w:rsidRPr="005354AC" w14:paraId="13394D4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D7523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7A260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Recursos do FNDE Referentes ao Programa Nacional de Apoio ao Transporte Escolar (PNATE)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10D14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do Desenvolvimento da Educação - FNDE, destinados ao Programa Nacional de Apoio ao Transporte Escolar (PNATE).</w:t>
            </w:r>
          </w:p>
        </w:tc>
      </w:tr>
      <w:tr w:rsidR="005354AC" w:rsidRPr="005354AC" w14:paraId="1B11C25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55CD3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AEBAE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Transferências de Recursos do FNDE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46114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demais recursos originários de transferências do Fundo Nacional do Desenvolvimento da Educação - FNDE.</w:t>
            </w:r>
          </w:p>
        </w:tc>
      </w:tr>
      <w:tr w:rsidR="005354AC" w:rsidRPr="005354AC" w14:paraId="0E010E92"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5831A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75E3E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Governo Federal referentes a Convênios e Instrumentos Congêneres vinculados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B5080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com a União, cuja destinação encontra-se vinculada a programas da educação.</w:t>
            </w:r>
          </w:p>
        </w:tc>
      </w:tr>
      <w:tr w:rsidR="005354AC" w:rsidRPr="005354AC" w14:paraId="31F9DA4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98A2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9BE99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Estado referentes a Convênios e Instrumentos Congêneres vinculados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D365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 xml:space="preserve">Controle dos recursos originários de transferências em decorrência da celebração de convênios e instrumentos congêneres com os Estados, cuja </w:t>
            </w:r>
            <w:r w:rsidRPr="005354AC">
              <w:rPr>
                <w:rFonts w:ascii="Times New Roman" w:eastAsia="Times New Roman" w:hAnsi="Times New Roman" w:cs="Times New Roman"/>
                <w:lang w:eastAsia="pt-BR"/>
              </w:rPr>
              <w:lastRenderedPageBreak/>
              <w:t>destinação encontra-se vinculada a programas da educação.</w:t>
            </w:r>
          </w:p>
        </w:tc>
      </w:tr>
      <w:tr w:rsidR="005354AC" w:rsidRPr="005354AC" w14:paraId="0B77F28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37C49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572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7E875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Municípios referentes a Convênios e Instrumentos Congêneres vinculados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19DE7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com outros municípios, cuja destinação encontra-se vinculada a programas da educação.</w:t>
            </w:r>
          </w:p>
        </w:tc>
      </w:tr>
      <w:tr w:rsidR="005354AC" w:rsidRPr="005354AC" w14:paraId="36D9B62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A06F4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D9B3C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Royalties do Petróleo e Gás Natural Vinculados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D2FA5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à Educação, originários de transferências recebidas pelo Município, relativos a Royalties e Participação Especial - Art. 2º da Lei nº 12.858/2013.</w:t>
            </w:r>
          </w:p>
        </w:tc>
      </w:tr>
      <w:tr w:rsidR="005354AC" w:rsidRPr="005354AC" w14:paraId="48910C9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2E40B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574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74EBE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Operações de Crédito Vinculadas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8A740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operações de crédito, cuja destinação encontra-se vinculada a programas da educação.</w:t>
            </w:r>
          </w:p>
        </w:tc>
      </w:tr>
      <w:tr w:rsidR="005354AC" w:rsidRPr="005354AC" w14:paraId="1D0087A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9D394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599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AC122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Vinculados à Educação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40E0E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demais recursos vinculados à Educação, não enquadrados nas especificações anteriores.</w:t>
            </w:r>
          </w:p>
        </w:tc>
      </w:tr>
      <w:tr w:rsidR="005354AC" w:rsidRPr="005354AC" w14:paraId="027E0114"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612966"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00702CA1"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FC19A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À SAUDE</w:t>
            </w:r>
          </w:p>
        </w:tc>
      </w:tr>
      <w:tr w:rsidR="005354AC" w:rsidRPr="005354AC" w14:paraId="1C608A1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6CDF9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CBCD5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 Governo Federal - Bloco de Manutenção das Ações e Serviços Públicos de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92AF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de Saúde, referentes ao Sistema Único de Saúde (SUS) e relacionados ao Bloco de Manutenção das Ações e Serviços Públicos de Saúde.</w:t>
            </w:r>
          </w:p>
        </w:tc>
      </w:tr>
      <w:tr w:rsidR="005354AC" w:rsidRPr="005354AC" w14:paraId="471576A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9E759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12D90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 Governo Federal - Bloco de Estruturação da Rede de Serviços Públicos de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1CEF4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de Saúde, referentes ao Sistema Único de Saúde (SUS) e relacionados ao Bloco de Estruturação na Rede de Serviços Públicos de Saúde.</w:t>
            </w:r>
          </w:p>
        </w:tc>
      </w:tr>
      <w:tr w:rsidR="005354AC" w:rsidRPr="005354AC" w14:paraId="030084E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75AD0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7C910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 Governo Federal - Bloco de Manutenção das Ações e Serviços Públicos de Saúde - Recursos destinados ao enfrentamento da COVID-19 no bojo da ação 21C0.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D4BA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de Saúde, referentes ao Sistema Único de Saúde (SUS), relacionados ao Bloco de Manutenção das Ações e Serviços Públicos de Saúde, e destinados ao enfrentamento da COVID-19 no bojo da ação 21C0 do orçamento da União.</w:t>
            </w:r>
          </w:p>
        </w:tc>
      </w:tr>
      <w:tr w:rsidR="005354AC" w:rsidRPr="005354AC" w14:paraId="5F91014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F71FD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8DE62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 Governo Federal - Bloco de Estruturação da Rede de Serviços Públicos de Saúde - Recursos destinados ao enfrentamento da COVID-19 no bojo da ação 21C0.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C375F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Nacional de Saúde, referentes ao Sistema Único de Saúde (SUS), relacionados ao Bloco de Estruturação na Rede de Serviços Públicos de Saúde e destinados ao enfrentamento da COVID-19 no bojo da ação 21C0 do orçamento da União.</w:t>
            </w:r>
          </w:p>
        </w:tc>
      </w:tr>
      <w:tr w:rsidR="005354AC" w:rsidRPr="005354AC" w14:paraId="3217DB7F"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EB19B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469DA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 Governo Estadual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1A180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 Fundo Estadual de Saúde, referentes ao Sistema Único de Saúde (SUS).</w:t>
            </w:r>
          </w:p>
        </w:tc>
      </w:tr>
      <w:tr w:rsidR="005354AC" w:rsidRPr="005354AC" w14:paraId="433ADBF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4C57A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CB643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Fundo a Fundo de Recursos do SUS provenientes dos Governos Municipais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D0041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dos Fundos de Saúde de outros municípios, referentes ao Sistema Único de Saúde (SUS).</w:t>
            </w:r>
          </w:p>
        </w:tc>
      </w:tr>
      <w:tr w:rsidR="005354AC" w:rsidRPr="005354AC" w14:paraId="1B6047F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14C61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631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FFCE1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Governo Federal referentes a Convênios e Instrumentos Congêneres vinculados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917C7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com a União, cuja destinação encontra-se vinculada a programas da saúde.</w:t>
            </w:r>
          </w:p>
        </w:tc>
      </w:tr>
      <w:tr w:rsidR="005354AC" w:rsidRPr="005354AC" w14:paraId="3BC50F9E"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B639D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D65FF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do Estado referentes a Convênios e Instrumentos Congêneres vinculados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2BBB8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com os Estados, cuja destinação encontra-se vinculada a programas da saúde.</w:t>
            </w:r>
          </w:p>
        </w:tc>
      </w:tr>
      <w:tr w:rsidR="005354AC" w:rsidRPr="005354AC" w14:paraId="4D96D14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F4EC6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1CFFC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Municípios referentes a Convênios Instrumentos Congêneres vinculados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8C89F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com outros Municípios, cuja destinação encontra-se vinculada a programas da saúde.</w:t>
            </w:r>
          </w:p>
        </w:tc>
      </w:tr>
      <w:tr w:rsidR="005354AC" w:rsidRPr="005354AC" w14:paraId="14B9E0D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E7825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7EF1A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Operações de Crédito vinculadas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09958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operações de crédito, cuja destinação encontra-se vinculada a programas da saúde.</w:t>
            </w:r>
          </w:p>
        </w:tc>
      </w:tr>
      <w:tr w:rsidR="005354AC" w:rsidRPr="005354AC" w14:paraId="722D5E65"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F3638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3F3B6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Royalties do Petróleo e Gás Natural vinculados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D742E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à Saúde, originários de transferências recebidas pelo Município, relativos a Royalties e Participação Especial - Art. 2º da Lei nº 12.858/2013.</w:t>
            </w:r>
          </w:p>
        </w:tc>
      </w:tr>
      <w:tr w:rsidR="005354AC" w:rsidRPr="005354AC" w14:paraId="1896ECE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8B2C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33FC1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Vinculados à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5A8B1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demais recursos vinculados à Saúde, não enquadrados nas especificações anteriores.</w:t>
            </w:r>
          </w:p>
        </w:tc>
      </w:tr>
      <w:tr w:rsidR="005354AC" w:rsidRPr="005354AC" w14:paraId="645223EE"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0B94A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À ASSISTÊNCIA SOCIAL</w:t>
            </w:r>
          </w:p>
        </w:tc>
      </w:tr>
      <w:tr w:rsidR="005354AC" w:rsidRPr="005354AC" w14:paraId="5E6595D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393EE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2EC47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 de Recursos do Fundo Nacional de Assistência Social - FNAS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32D01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os recursos originários de transferências do Fundo Nacional de Assistência Social - Lei Federal nº 8.742, 07/12/1993.</w:t>
            </w:r>
          </w:p>
        </w:tc>
      </w:tr>
      <w:tr w:rsidR="005354AC" w:rsidRPr="005354AC" w14:paraId="2C64F9D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32154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66F2C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 Convênios e Instrumentos Congêneres vinculados à Assistência Social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7D6A5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em decorrência da celebração de convênios e instrumentos congêneres cuja destinação encontra-se vinculada a programas da assistência social.</w:t>
            </w:r>
          </w:p>
        </w:tc>
      </w:tr>
      <w:tr w:rsidR="005354AC" w:rsidRPr="005354AC" w14:paraId="1741391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D1D1E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669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6D424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Vinculados à Assistência Social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93CD8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demais recursos vinculados à Assistência Social, não enquadrados nas especificações anteriores.</w:t>
            </w:r>
          </w:p>
        </w:tc>
      </w:tr>
      <w:tr w:rsidR="005354AC" w:rsidRPr="005354AC" w14:paraId="5060F57C"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38214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DEMAIS VINCULAÇÕES DECORRENTES DE TRANSFERÊNCIAS</w:t>
            </w:r>
          </w:p>
        </w:tc>
      </w:tr>
    </w:tbl>
    <w:p w14:paraId="32B67056" w14:textId="77777777" w:rsidR="005354AC" w:rsidRPr="005354AC" w:rsidRDefault="005354AC" w:rsidP="00F156FE">
      <w:pPr>
        <w:shd w:val="clear" w:color="auto" w:fill="FFFFFF"/>
        <w:spacing w:after="0" w:line="240" w:lineRule="auto"/>
        <w:jc w:val="both"/>
        <w:rPr>
          <w:rFonts w:ascii="Arial" w:eastAsia="Times New Roman" w:hAnsi="Arial" w:cs="Arial"/>
          <w:vanish/>
          <w:color w:val="162937"/>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20"/>
        <w:gridCol w:w="2521"/>
        <w:gridCol w:w="5563"/>
      </w:tblGrid>
      <w:tr w:rsidR="005354AC" w:rsidRPr="005354AC" w14:paraId="56B07872" w14:textId="77777777" w:rsidTr="005354AC">
        <w:trPr>
          <w:gridAfter w:val="2"/>
        </w:trPr>
        <w:tc>
          <w:tcPr>
            <w:tcW w:w="0" w:type="auto"/>
            <w:vAlign w:val="center"/>
            <w:hideMark/>
          </w:tcPr>
          <w:p w14:paraId="1C00685D" w14:textId="77777777" w:rsidR="005354AC" w:rsidRPr="005354AC" w:rsidRDefault="005354AC" w:rsidP="00F156FE">
            <w:pPr>
              <w:spacing w:after="0" w:line="240" w:lineRule="auto"/>
              <w:rPr>
                <w:rFonts w:ascii="Arial" w:eastAsia="Times New Roman" w:hAnsi="Arial" w:cs="Arial"/>
                <w:color w:val="162937"/>
                <w:lang w:eastAsia="pt-BR"/>
              </w:rPr>
            </w:pPr>
          </w:p>
        </w:tc>
      </w:tr>
      <w:tr w:rsidR="005354AC" w:rsidRPr="005354AC" w14:paraId="41F7E65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09A44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EF083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Transferências de Convênios ou Instrumentos Congêneres da União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1BCF9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federais em decorrência da celebração de convênios e instrumentos congêneres cuja destinação encontra-se vinculada aos seus objetos. Não serão controlados por esta fonte os recursos de convênios vinculados a programas da educação, da saúde e da assistência social.</w:t>
            </w:r>
          </w:p>
        </w:tc>
      </w:tr>
      <w:tr w:rsidR="005354AC" w:rsidRPr="005354AC" w14:paraId="74A7BDF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4C759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470CF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Transferências de Convênios ou Instrumentos Congêneres dos Estados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C9895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estaduais em decorrência da celebração de convênios e instrumentos congêneres, cuja destinação encontra-se vinculada aos seus objetos. Não serão controlados por esta fonte os recursos de convênios ou contratos de repasse vinculados a programas da educação, da saúde e da assistência social.</w:t>
            </w:r>
          </w:p>
        </w:tc>
      </w:tr>
      <w:tr w:rsidR="005354AC" w:rsidRPr="005354AC" w14:paraId="2522A45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30101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702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E5138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Transferências de Convênios ou Instrumentos Congêneres dos Municípios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2BC49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transferências de municípios em decorrência da celebração de convênios e instrumentos congêneres, cuja destinação encontra-se vinculada aos seus objetos. Não serão controlados por esta fonte os recursos de convênios ou contratos de repasse vinculados a programas da educação, da saúde e da assistência social.</w:t>
            </w:r>
          </w:p>
        </w:tc>
      </w:tr>
      <w:tr w:rsidR="005354AC" w:rsidRPr="005354AC" w14:paraId="3CE3479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064C6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AE063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Transferências de Convênios ou Instrumentos Congêneres de outras Entidades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31ADBE" w14:textId="1135D583"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 xml:space="preserve">Controle dos recursos originários de transferências de entidades privadas, estrangeiras ou </w:t>
            </w:r>
            <w:proofErr w:type="spellStart"/>
            <w:r w:rsidRPr="005354AC">
              <w:rPr>
                <w:rFonts w:ascii="Times New Roman" w:eastAsia="Times New Roman" w:hAnsi="Times New Roman" w:cs="Times New Roman"/>
                <w:lang w:eastAsia="pt-BR"/>
              </w:rPr>
              <w:t>multigover</w:t>
            </w:r>
            <w:r w:rsidR="000F6EBE">
              <w:rPr>
                <w:rFonts w:ascii="Times New Roman" w:eastAsia="Times New Roman" w:hAnsi="Times New Roman" w:cs="Times New Roman"/>
                <w:lang w:eastAsia="pt-BR"/>
              </w:rPr>
              <w:t>n</w:t>
            </w:r>
            <w:r w:rsidRPr="005354AC">
              <w:rPr>
                <w:rFonts w:ascii="Times New Roman" w:eastAsia="Times New Roman" w:hAnsi="Times New Roman" w:cs="Times New Roman"/>
                <w:lang w:eastAsia="pt-BR"/>
              </w:rPr>
              <w:t>amentais</w:t>
            </w:r>
            <w:proofErr w:type="spellEnd"/>
            <w:r w:rsidRPr="005354AC">
              <w:rPr>
                <w:rFonts w:ascii="Times New Roman" w:eastAsia="Times New Roman" w:hAnsi="Times New Roman" w:cs="Times New Roman"/>
                <w:lang w:eastAsia="pt-BR"/>
              </w:rPr>
              <w:t xml:space="preserve"> em virtude de assinatura de convênios e instrumentos congêneres, cuja destinação encontra-se vinculada aos seus objetos. Não serão controlados por esta fonte os recursos de convênios ou contratos de repasse vinculados a programas da educação, da saúde e da assistência social.</w:t>
            </w:r>
          </w:p>
        </w:tc>
      </w:tr>
      <w:tr w:rsidR="005354AC" w:rsidRPr="005354AC" w14:paraId="76549FD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3E1F2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3F11C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 da União Referente a Royalties do Petróleo e Gás Natural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9B13D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transferidos pela União, originários da arrecadação de royalties, que não sejam destinados às áreas da saúde ou educação.</w:t>
            </w:r>
          </w:p>
        </w:tc>
      </w:tr>
      <w:tr w:rsidR="005354AC" w:rsidRPr="005354AC" w14:paraId="585B0A6C"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85675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DADCF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 dos Estados Referente a Royalties do Petróleo e Gás Natural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5B871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transferidos pelos Estados, originários da arrecadação de royalties, que não sejam destinados às áreas da saúde ou educação.</w:t>
            </w:r>
          </w:p>
        </w:tc>
      </w:tr>
      <w:tr w:rsidR="005354AC" w:rsidRPr="005354AC" w14:paraId="3946F72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ABB57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5E579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 Especial da União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3649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transferidos pela União provenientes de emendas individuais impositivas ao orçamento da União, por meio de transferências especiais, nos termos do art. 166-A da Constituição Federal.</w:t>
            </w:r>
          </w:p>
        </w:tc>
      </w:tr>
      <w:tr w:rsidR="005354AC" w:rsidRPr="005354AC" w14:paraId="3AD5D72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848E7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707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5B9D9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da União - inciso I do art. 5º da Lei Complementar 173/2020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B982A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provenientes de transferência da União com base no disposto no inciso I do art. 5º da Lei Complementar 173, de 27 de maio de 2020.</w:t>
            </w:r>
          </w:p>
        </w:tc>
      </w:tr>
      <w:tr w:rsidR="005354AC" w:rsidRPr="005354AC" w14:paraId="4835F01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AB932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397B3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vinculações de transferências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39A9D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outras transferências vinculadas, não enquadrados nas especificações anteriores.</w:t>
            </w:r>
          </w:p>
        </w:tc>
      </w:tr>
      <w:tr w:rsidR="005354AC" w:rsidRPr="005354AC" w14:paraId="03F07417"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49027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DEMAIS VINCULAÇÕES LEGAIS</w:t>
            </w:r>
          </w:p>
        </w:tc>
      </w:tr>
      <w:tr w:rsidR="005354AC" w:rsidRPr="005354AC" w14:paraId="3B7BFFB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A2363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0623E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da Contribuição de Intervenção no Domínio Econômico - CIDE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9D66C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recebidos pelos Estados, Distrito Federal e Municípios, decorrentes da distribuição da arrecadação da União com a CIDE - Combustíveis, com base no disposto na Lei nº 10.336/2001.</w:t>
            </w:r>
          </w:p>
        </w:tc>
      </w:tr>
      <w:tr w:rsidR="005354AC" w:rsidRPr="005354AC" w14:paraId="7A1ED464"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0DBDC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36AB9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da Contribuição para o Custeio do Serviço de Iluminação Pública - COSIP</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61F5C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da COSIP, nos termos do artigo 149-A da Constituição Federal da República.</w:t>
            </w:r>
          </w:p>
        </w:tc>
      </w:tr>
      <w:tr w:rsidR="005354AC" w:rsidRPr="005354AC" w14:paraId="7E0DFEBD"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C6FF4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3B556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ao Trânsito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49174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com a cobrança das multas de trânsito nos termos do art. 320 da Lei nº 9.503/1997 - Código de Trânsito Brasileiro.</w:t>
            </w:r>
          </w:p>
        </w:tc>
      </w:tr>
      <w:tr w:rsidR="005354AC" w:rsidRPr="005354AC" w14:paraId="2A5D9792"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F2889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6F642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provenientes de taxas e contribuições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62B8F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taxas e contribuições vinculadas conforme legislações específicas.</w:t>
            </w:r>
          </w:p>
        </w:tc>
      </w:tr>
      <w:tr w:rsidR="005354AC" w:rsidRPr="005354AC" w14:paraId="29C9197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8C815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4B0DD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Operações de Crédito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5F017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originários de operações de crédito, exceto as operações cuja aplicação esteja destinada a programas de educação e saúde.</w:t>
            </w:r>
          </w:p>
        </w:tc>
      </w:tr>
      <w:tr w:rsidR="005354AC" w:rsidRPr="005354AC" w14:paraId="100A735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E1AF7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1415A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Alienação de Bens/Ativos - Administração Direta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90A4A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decorrentes da alienação de bens da Administração Direta, nos termos do art. 44 da Lei Complementar nº 101/2000.</w:t>
            </w:r>
          </w:p>
        </w:tc>
      </w:tr>
      <w:tr w:rsidR="005354AC" w:rsidRPr="005354AC" w14:paraId="15FFB08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F7990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756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B7C71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Alienação de Bens/Ativos - Administração Indireta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5D93E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decorrentes da alienação de bens da Administração Indireta, nos termos do art. 44 da Lei Complementar nº 101/2000.</w:t>
            </w:r>
          </w:p>
        </w:tc>
      </w:tr>
      <w:tr w:rsidR="005354AC" w:rsidRPr="005354AC" w14:paraId="7F0AC6D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23FA1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3E366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Depósitos Judiciais - Lides das quais o Ente faz parte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B9AC1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depósitos judiciais apropriados pelo ente de lides das quais o ente faz parte, com base na Lei Complementar nº 151/2015, no art. 101 do ADCT da Constituição Federal.</w:t>
            </w:r>
          </w:p>
        </w:tc>
      </w:tr>
      <w:tr w:rsidR="005354AC" w:rsidRPr="005354AC" w14:paraId="63DB770F"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7A141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60CFC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Depósitos Judiciais - Lides das quais o Ente não faz parte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0FEBF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depósitos judiciais apropriados pelo ente de lides das quais o ente não faz parte, com base no art. 101 do ADCT da Constituição Federal.</w:t>
            </w:r>
          </w:p>
        </w:tc>
      </w:tr>
      <w:tr w:rsidR="005354AC" w:rsidRPr="005354AC" w14:paraId="0E99BF1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73539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5B8DB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 Fundos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58A40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a fundos, com exceção dos fundos relacionados à saúde, à educação, à assistência social e aos regimes de previdência.</w:t>
            </w:r>
          </w:p>
        </w:tc>
      </w:tr>
      <w:tr w:rsidR="005354AC" w:rsidRPr="005354AC" w14:paraId="37421C1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44BCA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074B8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Emolumentos e Taxas Judiciais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EA797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 emolumentos e taxas arrecadadas pelo Poder Judiciário, observando o disposto em legislações específicas.</w:t>
            </w:r>
          </w:p>
        </w:tc>
      </w:tr>
      <w:tr w:rsidR="005354AC" w:rsidRPr="005354AC" w14:paraId="4AAE506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3BE2E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799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7DE97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Vinculações Legais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71E01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de outros recursos vinculados por lei, não enquadrados nas especificações anteriores.</w:t>
            </w:r>
          </w:p>
        </w:tc>
      </w:tr>
      <w:tr w:rsidR="005354AC" w:rsidRPr="005354AC" w14:paraId="3277F612"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4F8A4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À PREVIDÊNCIA SOCIAL</w:t>
            </w:r>
          </w:p>
        </w:tc>
      </w:tr>
      <w:tr w:rsidR="005354AC" w:rsidRPr="005354AC" w14:paraId="3A78FBFE"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27E03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D06E7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ao RPPS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2BEEE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ao fundo em capitalização do RPPS. Esse plano existe tanto nos entes que segregaram quanto nos que não segregaram a massa dos segurados, observando-se o disposto na Portaria MF nº 464/2018. Na fase das despesas, será necessário associar esta fonte ao marcador que identifica a qual Poder ou Órgão se refere a despesa quando ela é executada no PO RPPS.</w:t>
            </w:r>
          </w:p>
        </w:tc>
      </w:tr>
      <w:tr w:rsidR="005354AC" w:rsidRPr="005354AC" w14:paraId="39575031"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68249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500B6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ao RPPS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D2F6E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ao fundo em repartição do RPPS. Esse plano deve existir somente nos entes que segregaram a massa dos segurados, observando-se o disposto na Portaria MF nº 464/2018. Na fase da despesa, será necessário associar esta fonte ao marcador que identifica a qual Poder ou Órgão se refere a despesa quando ela é executada no PO RPPS.</w:t>
            </w:r>
          </w:p>
        </w:tc>
      </w:tr>
      <w:tr w:rsidR="005354AC" w:rsidRPr="005354AC" w14:paraId="7B64D93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AC31E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035D6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ao RPPS - Taxa de Administração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234D9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destinados ao custeio das despesas necessárias à organização e ao funcionamento da unidade gestora do RPPS, observando-se o disposto na Portaria MPS nº 402/2008 e na Portaria MF nº 464/2018, ambas alteradas pela Portaria ME nº 19.451/2020.</w:t>
            </w:r>
          </w:p>
        </w:tc>
      </w:tr>
      <w:tr w:rsidR="005354AC" w:rsidRPr="005354AC" w14:paraId="4ABDBBE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EE361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9E478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Vinculados ao Sistema de Proteção Social dos Militares (SPSM)</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2BF0B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vinculados ao Sistema de Proteção Social dos Militares (SPSM), com base na Lei nº 6.880/1980 (Estatuto dos Militares), alterada pela Lei nº 13.954/2019.</w:t>
            </w:r>
          </w:p>
        </w:tc>
      </w:tr>
      <w:tr w:rsidR="005354AC" w:rsidRPr="005354AC" w14:paraId="4792DD49"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DE3B3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EXTRAORÇAMENTÁRIOS</w:t>
            </w:r>
          </w:p>
        </w:tc>
      </w:tr>
      <w:tr w:rsidR="005354AC" w:rsidRPr="005354AC" w14:paraId="5ACA063E"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4022C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83A77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Extraorçamentários Vinculados a Precatórios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BBE19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financeiros junto aos tribunais de justiça vinculados ao pagamento de precatórios.</w:t>
            </w:r>
          </w:p>
        </w:tc>
      </w:tr>
      <w:tr w:rsidR="005354AC" w:rsidRPr="005354AC" w14:paraId="07B575B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5E4EC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861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0091A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Extraorçamentários Vinculados a Depósitos Judiciais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E1062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financeiros junto aos tribunais de justiça vinculados aos depósitos judiciais.</w:t>
            </w:r>
          </w:p>
        </w:tc>
      </w:tr>
      <w:tr w:rsidR="005354AC" w:rsidRPr="005354AC" w14:paraId="0CA735B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7095E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862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33F59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Depósitos de Terceiros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619BE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financeiros decorrentes de depósitos de terceiros.</w:t>
            </w:r>
          </w:p>
        </w:tc>
      </w:tr>
      <w:tr w:rsidR="005354AC" w:rsidRPr="005354AC" w14:paraId="503292A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C4F29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9C6D4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Extraorçamentários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18A9A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financeiros que não transitam pelo orçamento, como depósitos e cauções.</w:t>
            </w:r>
          </w:p>
        </w:tc>
      </w:tr>
      <w:tr w:rsidR="005354AC" w:rsidRPr="005354AC" w14:paraId="3DB61FD5" w14:textId="77777777" w:rsidTr="005354A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305EE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OUTRAS VINCULAÇÕES</w:t>
            </w:r>
          </w:p>
        </w:tc>
      </w:tr>
      <w:tr w:rsidR="005354AC" w:rsidRPr="005354AC" w14:paraId="5007A0A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F00CA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880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21B66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Próprios dos Consórcios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5EC06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próprios dos Consórcios Públicos (utilizada pelos consórcios públicos)</w:t>
            </w:r>
          </w:p>
        </w:tc>
      </w:tr>
      <w:tr w:rsidR="005354AC" w:rsidRPr="005354AC" w14:paraId="06C6FC7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AB2F3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3E1C5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a Classificar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D19ED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Classificação temporária enquanto não se identifica a correta vinculação.</w:t>
            </w:r>
          </w:p>
        </w:tc>
      </w:tr>
      <w:tr w:rsidR="005354AC" w:rsidRPr="005354AC" w14:paraId="6991795D"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D025C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899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4697F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Outros Recursos Vinculados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3FBF0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Controle dos recursos cuja aplicação seja vinculada e não tenha sido enquadrado em outras especificações.</w:t>
            </w:r>
          </w:p>
        </w:tc>
      </w:tr>
    </w:tbl>
    <w:p w14:paraId="201F6466" w14:textId="77777777" w:rsidR="001874A8" w:rsidRPr="00F156FE" w:rsidRDefault="001874A8" w:rsidP="00F156FE">
      <w:pPr>
        <w:shd w:val="clear" w:color="auto" w:fill="FFFFFF"/>
        <w:spacing w:after="0" w:line="240" w:lineRule="auto"/>
        <w:ind w:firstLine="1200"/>
        <w:jc w:val="both"/>
        <w:rPr>
          <w:rFonts w:ascii="Arial" w:eastAsia="Times New Roman" w:hAnsi="Arial" w:cs="Arial"/>
          <w:color w:val="162937"/>
          <w:sz w:val="18"/>
          <w:szCs w:val="18"/>
          <w:lang w:eastAsia="pt-BR"/>
        </w:rPr>
      </w:pPr>
    </w:p>
    <w:p w14:paraId="0CE9D99A" w14:textId="475EEFB9" w:rsidR="005354AC" w:rsidRPr="00B73AC1" w:rsidRDefault="005354AC" w:rsidP="00F156FE">
      <w:pPr>
        <w:shd w:val="clear" w:color="auto" w:fill="FFFFFF"/>
        <w:spacing w:after="0" w:line="240" w:lineRule="auto"/>
        <w:ind w:firstLine="1200"/>
        <w:jc w:val="both"/>
        <w:rPr>
          <w:rFonts w:ascii="Arial" w:eastAsia="Times New Roman" w:hAnsi="Arial" w:cs="Arial"/>
          <w:b/>
          <w:bCs/>
          <w:color w:val="162937"/>
          <w:lang w:eastAsia="pt-BR"/>
        </w:rPr>
      </w:pPr>
      <w:r w:rsidRPr="00B73AC1">
        <w:rPr>
          <w:rFonts w:ascii="Arial" w:eastAsia="Times New Roman" w:hAnsi="Arial" w:cs="Arial"/>
          <w:b/>
          <w:bCs/>
          <w:color w:val="162937"/>
          <w:lang w:eastAsia="pt-BR"/>
        </w:rPr>
        <w:t>ANEXO II</w:t>
      </w:r>
    </w:p>
    <w:p w14:paraId="024DA33E"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Informações complementares à estrutura de codificação da classificação por fonte ou destinação de recursos</w:t>
      </w:r>
    </w:p>
    <w:p w14:paraId="777C4122"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Com o objetivo de obter informações relacionadas aos controles normalmente associados às fontes de recursos e que são importantes para geração de relatórios ou demonstrativos contábeis e fiscais padronizados, há necessidade de definir codificações adicionais para recebimento das informações no Sistema de Informações Contábeis e Fiscais do Setor Público Brasileiro - </w:t>
      </w:r>
      <w:proofErr w:type="spellStart"/>
      <w:r w:rsidRPr="005354AC">
        <w:rPr>
          <w:rFonts w:ascii="Arial" w:eastAsia="Times New Roman" w:hAnsi="Arial" w:cs="Arial"/>
          <w:color w:val="162937"/>
          <w:lang w:eastAsia="pt-BR"/>
        </w:rPr>
        <w:t>Siconfi</w:t>
      </w:r>
      <w:proofErr w:type="spellEnd"/>
      <w:r w:rsidRPr="005354AC">
        <w:rPr>
          <w:rFonts w:ascii="Arial" w:eastAsia="Times New Roman" w:hAnsi="Arial" w:cs="Arial"/>
          <w:color w:val="162937"/>
          <w:lang w:eastAsia="pt-BR"/>
        </w:rPr>
        <w:t>, por meio da Matriz de Saldos Contábeis-MSC.</w:t>
      </w:r>
    </w:p>
    <w:p w14:paraId="74DBBDB8"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Nesse escopo encontra-se a identificação do exercício em que o recurso foi arrecadado. Para o recebimento dessas informações no </w:t>
      </w:r>
      <w:proofErr w:type="spellStart"/>
      <w:r w:rsidRPr="005354AC">
        <w:rPr>
          <w:rFonts w:ascii="Arial" w:eastAsia="Times New Roman" w:hAnsi="Arial" w:cs="Arial"/>
          <w:color w:val="162937"/>
          <w:lang w:eastAsia="pt-BR"/>
        </w:rPr>
        <w:t>Siconfi</w:t>
      </w:r>
      <w:proofErr w:type="spellEnd"/>
      <w:r w:rsidRPr="005354AC">
        <w:rPr>
          <w:rFonts w:ascii="Arial" w:eastAsia="Times New Roman" w:hAnsi="Arial" w:cs="Arial"/>
          <w:color w:val="162937"/>
          <w:lang w:eastAsia="pt-BR"/>
        </w:rPr>
        <w:t>, por meio da MSC, será definido um dígito inserido antes da codificação da fonte de recurso. No envio da MSC, os entes da Federação que não utilizarem a mesma lógica nos registros contábeis deverão associar a forma de identificação utilizada pelo ente da Federação ao formato definido para a MSC.</w:t>
      </w:r>
    </w:p>
    <w:p w14:paraId="2D0A433E" w14:textId="77777777"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Dessa forma, a codificação utilizada na MSC será composta de 4 dígitos, subdividida em 2 níveis de classificação, com a estrutura: X.XXX.</w:t>
      </w:r>
    </w:p>
    <w:p w14:paraId="7DC25DB0" w14:textId="072FC6E8" w:rsid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O primeiro nível, com um dígito, identificará o exercício do recurso, conforme definido no Quadro 1, e não comporá a codificação padronizada da classificação por fonte de recursos. O segundo nível, com três dígitos, corresponderá à codificação padronizada para toda a Federação, constante no Anexo I.</w:t>
      </w:r>
    </w:p>
    <w:p w14:paraId="4EEE5C2A" w14:textId="77777777" w:rsidR="00D21306" w:rsidRPr="005354AC" w:rsidRDefault="00D21306" w:rsidP="00F156FE">
      <w:pPr>
        <w:shd w:val="clear" w:color="auto" w:fill="FFFFFF"/>
        <w:spacing w:after="0" w:line="240" w:lineRule="auto"/>
        <w:ind w:firstLine="1200"/>
        <w:jc w:val="both"/>
        <w:rPr>
          <w:rFonts w:ascii="Arial" w:eastAsia="Times New Roman" w:hAnsi="Arial" w:cs="Arial"/>
          <w:color w:val="162937"/>
          <w:lang w:eastAsia="pt-BR"/>
        </w:rPr>
      </w:pPr>
    </w:p>
    <w:p w14:paraId="249123AC" w14:textId="77777777" w:rsidR="005354AC" w:rsidRPr="00D21306" w:rsidRDefault="005354AC" w:rsidP="00D21306">
      <w:pPr>
        <w:shd w:val="clear" w:color="auto" w:fill="FFFFFF"/>
        <w:spacing w:after="0" w:line="240" w:lineRule="auto"/>
        <w:ind w:firstLine="1"/>
        <w:jc w:val="center"/>
        <w:rPr>
          <w:rFonts w:ascii="Arial" w:eastAsia="Times New Roman" w:hAnsi="Arial" w:cs="Arial"/>
          <w:b/>
          <w:bCs/>
          <w:color w:val="162937"/>
          <w:lang w:eastAsia="pt-BR"/>
        </w:rPr>
      </w:pPr>
      <w:r w:rsidRPr="00D21306">
        <w:rPr>
          <w:rFonts w:ascii="Arial" w:eastAsia="Times New Roman" w:hAnsi="Arial" w:cs="Arial"/>
          <w:b/>
          <w:bCs/>
          <w:color w:val="162937"/>
          <w:lang w:eastAsia="pt-BR"/>
        </w:rPr>
        <w:t>QUADRO 1</w:t>
      </w:r>
    </w:p>
    <w:p w14:paraId="6F124557" w14:textId="77777777" w:rsidR="005354AC" w:rsidRPr="005354AC" w:rsidRDefault="005354AC" w:rsidP="00D21306">
      <w:pPr>
        <w:shd w:val="clear" w:color="auto" w:fill="FFFFFF"/>
        <w:spacing w:after="0" w:line="240" w:lineRule="auto"/>
        <w:ind w:firstLine="1"/>
        <w:jc w:val="center"/>
        <w:rPr>
          <w:rFonts w:ascii="Arial" w:eastAsia="Times New Roman" w:hAnsi="Arial" w:cs="Arial"/>
          <w:color w:val="162937"/>
          <w:lang w:eastAsia="pt-BR"/>
        </w:rPr>
      </w:pPr>
      <w:r w:rsidRPr="005354AC">
        <w:rPr>
          <w:rFonts w:ascii="Arial" w:eastAsia="Times New Roman" w:hAnsi="Arial" w:cs="Arial"/>
          <w:color w:val="162937"/>
          <w:lang w:eastAsia="pt-BR"/>
        </w:rPr>
        <w:t>Identificação do Exercício</w:t>
      </w:r>
    </w:p>
    <w:tbl>
      <w:tblPr>
        <w:tblW w:w="0" w:type="auto"/>
        <w:jc w:val="center"/>
        <w:tblCellMar>
          <w:top w:w="15" w:type="dxa"/>
          <w:left w:w="15" w:type="dxa"/>
          <w:bottom w:w="15" w:type="dxa"/>
          <w:right w:w="15" w:type="dxa"/>
        </w:tblCellMar>
        <w:tblLook w:val="04A0" w:firstRow="1" w:lastRow="0" w:firstColumn="1" w:lastColumn="0" w:noHBand="0" w:noVBand="1"/>
      </w:tblPr>
      <w:tblGrid>
        <w:gridCol w:w="763"/>
        <w:gridCol w:w="3127"/>
      </w:tblGrid>
      <w:tr w:rsidR="005354AC" w:rsidRPr="005354AC" w14:paraId="799D1E6E" w14:textId="77777777" w:rsidTr="00D21306">
        <w:trPr>
          <w:gridAfter w:val="1"/>
          <w:jc w:val="center"/>
        </w:trPr>
        <w:tc>
          <w:tcPr>
            <w:tcW w:w="0" w:type="auto"/>
            <w:vAlign w:val="center"/>
            <w:hideMark/>
          </w:tcPr>
          <w:p w14:paraId="2AFAFBDD" w14:textId="77777777" w:rsidR="005354AC" w:rsidRPr="005354AC" w:rsidRDefault="005354AC" w:rsidP="00F156FE">
            <w:pPr>
              <w:spacing w:after="0" w:line="240" w:lineRule="auto"/>
              <w:rPr>
                <w:rFonts w:ascii="Arial" w:eastAsia="Times New Roman" w:hAnsi="Arial" w:cs="Arial"/>
                <w:color w:val="162937"/>
                <w:lang w:eastAsia="pt-BR"/>
              </w:rPr>
            </w:pPr>
          </w:p>
        </w:tc>
      </w:tr>
      <w:tr w:rsidR="005354AC" w:rsidRPr="005354AC" w14:paraId="3DA16772" w14:textId="77777777" w:rsidTr="00D2130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A5574D" w14:textId="77777777" w:rsidR="005354AC" w:rsidRPr="005354AC" w:rsidRDefault="005354AC" w:rsidP="00D21306">
            <w:pPr>
              <w:spacing w:after="0" w:line="240" w:lineRule="auto"/>
              <w:jc w:val="center"/>
              <w:rPr>
                <w:rFonts w:ascii="Times New Roman" w:eastAsia="Times New Roman" w:hAnsi="Times New Roman" w:cs="Times New Roman"/>
                <w:lang w:eastAsia="pt-BR"/>
              </w:rPr>
            </w:pPr>
            <w:r w:rsidRPr="005354AC">
              <w:rPr>
                <w:rFonts w:ascii="Times New Roman" w:eastAsia="Times New Roman" w:hAnsi="Times New Roman" w:cs="Times New Roman"/>
                <w:b/>
                <w:bCs/>
                <w:lang w:eastAsia="pt-BR"/>
              </w:rPr>
              <w:t>Código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12E9D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Nomenclatura</w:t>
            </w:r>
          </w:p>
        </w:tc>
      </w:tr>
      <w:tr w:rsidR="005354AC" w:rsidRPr="005354AC" w14:paraId="57707731" w14:textId="77777777" w:rsidTr="00D2130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0A5CC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96FCE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do Exercício Corrente</w:t>
            </w:r>
          </w:p>
        </w:tc>
      </w:tr>
      <w:tr w:rsidR="005354AC" w:rsidRPr="005354AC" w14:paraId="5BFC21FF" w14:textId="77777777" w:rsidTr="00D2130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996DC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14BF4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de Exercícios Anteriores</w:t>
            </w:r>
          </w:p>
        </w:tc>
      </w:tr>
      <w:tr w:rsidR="005354AC" w:rsidRPr="005354AC" w14:paraId="20A3E495" w14:textId="77777777" w:rsidTr="00D2130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B12DD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389B2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Recursos Condicionados</w:t>
            </w:r>
          </w:p>
        </w:tc>
      </w:tr>
    </w:tbl>
    <w:p w14:paraId="02566AD3" w14:textId="77777777" w:rsidR="00327D66" w:rsidRDefault="00327D66" w:rsidP="00F156FE">
      <w:pPr>
        <w:shd w:val="clear" w:color="auto" w:fill="FFFFFF"/>
        <w:spacing w:after="0" w:line="240" w:lineRule="auto"/>
        <w:ind w:firstLine="1200"/>
        <w:jc w:val="both"/>
        <w:rPr>
          <w:rFonts w:ascii="Arial" w:eastAsia="Times New Roman" w:hAnsi="Arial" w:cs="Arial"/>
          <w:color w:val="162937"/>
          <w:lang w:eastAsia="pt-BR"/>
        </w:rPr>
      </w:pPr>
    </w:p>
    <w:p w14:paraId="4A84E652" w14:textId="01F07F75" w:rsidR="005354AC" w:rsidRP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Para o recebimento, por meio da MSC, das demais informações complementares à classificação por fonte ou destinação de recursos, relacionadas às fases de execução da receita e/ou da despesa orçamentárias, será definida codificação adicional, com 4 dígitos, denominada Código de Acompanhamento da Execução Orçamentária - CO, conforme definido no Quadro 2.</w:t>
      </w:r>
    </w:p>
    <w:p w14:paraId="6784A87C" w14:textId="10893F5A" w:rsidR="005354AC" w:rsidRDefault="005354AC" w:rsidP="00F156FE">
      <w:pPr>
        <w:shd w:val="clear" w:color="auto" w:fill="FFFFFF"/>
        <w:spacing w:after="0" w:line="240" w:lineRule="auto"/>
        <w:ind w:firstLine="1200"/>
        <w:jc w:val="both"/>
        <w:rPr>
          <w:rFonts w:ascii="Arial" w:eastAsia="Times New Roman" w:hAnsi="Arial" w:cs="Arial"/>
          <w:color w:val="162937"/>
          <w:lang w:eastAsia="pt-BR"/>
        </w:rPr>
      </w:pPr>
      <w:r w:rsidRPr="005354AC">
        <w:rPr>
          <w:rFonts w:ascii="Arial" w:eastAsia="Times New Roman" w:hAnsi="Arial" w:cs="Arial"/>
          <w:color w:val="162937"/>
          <w:lang w:eastAsia="pt-BR"/>
        </w:rPr>
        <w:t xml:space="preserve">Como a forma de identificação dessa informação na execução dos entes da Federação não será padronizada, caso não se utilize a mesma codificação, para envio das informações ao </w:t>
      </w:r>
      <w:proofErr w:type="spellStart"/>
      <w:r w:rsidRPr="005354AC">
        <w:rPr>
          <w:rFonts w:ascii="Arial" w:eastAsia="Times New Roman" w:hAnsi="Arial" w:cs="Arial"/>
          <w:color w:val="162937"/>
          <w:lang w:eastAsia="pt-BR"/>
        </w:rPr>
        <w:t>Siconfi</w:t>
      </w:r>
      <w:proofErr w:type="spellEnd"/>
      <w:r w:rsidRPr="005354AC">
        <w:rPr>
          <w:rFonts w:ascii="Arial" w:eastAsia="Times New Roman" w:hAnsi="Arial" w:cs="Arial"/>
          <w:color w:val="162937"/>
          <w:lang w:eastAsia="pt-BR"/>
        </w:rPr>
        <w:t xml:space="preserve"> será necessário associar a forma de identificação utilizada pelo ente da Federação ao formato definido para a MSC.</w:t>
      </w:r>
    </w:p>
    <w:p w14:paraId="7C502C45" w14:textId="77777777" w:rsidR="00D21306" w:rsidRPr="005354AC" w:rsidRDefault="00D21306" w:rsidP="00F156FE">
      <w:pPr>
        <w:shd w:val="clear" w:color="auto" w:fill="FFFFFF"/>
        <w:spacing w:after="0" w:line="240" w:lineRule="auto"/>
        <w:ind w:firstLine="1200"/>
        <w:jc w:val="both"/>
        <w:rPr>
          <w:rFonts w:ascii="Arial" w:eastAsia="Times New Roman" w:hAnsi="Arial" w:cs="Arial"/>
          <w:color w:val="162937"/>
          <w:lang w:eastAsia="pt-BR"/>
        </w:rPr>
      </w:pPr>
    </w:p>
    <w:p w14:paraId="67408EF0" w14:textId="77777777" w:rsidR="005354AC" w:rsidRPr="00D21306" w:rsidRDefault="005354AC" w:rsidP="00D21306">
      <w:pPr>
        <w:shd w:val="clear" w:color="auto" w:fill="FFFFFF"/>
        <w:spacing w:after="0" w:line="240" w:lineRule="auto"/>
        <w:ind w:firstLine="1200"/>
        <w:jc w:val="center"/>
        <w:rPr>
          <w:rFonts w:ascii="Arial" w:eastAsia="Times New Roman" w:hAnsi="Arial" w:cs="Arial"/>
          <w:b/>
          <w:bCs/>
          <w:color w:val="162937"/>
          <w:lang w:eastAsia="pt-BR"/>
        </w:rPr>
      </w:pPr>
      <w:r w:rsidRPr="00D21306">
        <w:rPr>
          <w:rFonts w:ascii="Arial" w:eastAsia="Times New Roman" w:hAnsi="Arial" w:cs="Arial"/>
          <w:b/>
          <w:bCs/>
          <w:color w:val="162937"/>
          <w:lang w:eastAsia="pt-BR"/>
        </w:rPr>
        <w:lastRenderedPageBreak/>
        <w:t>QUADRO 2</w:t>
      </w:r>
    </w:p>
    <w:p w14:paraId="32B86AA0" w14:textId="3525A786" w:rsidR="005354AC" w:rsidRDefault="005354AC" w:rsidP="00D21306">
      <w:pPr>
        <w:shd w:val="clear" w:color="auto" w:fill="FFFFFF"/>
        <w:spacing w:after="0" w:line="240" w:lineRule="auto"/>
        <w:ind w:firstLine="1200"/>
        <w:jc w:val="center"/>
        <w:rPr>
          <w:rFonts w:ascii="Arial" w:eastAsia="Times New Roman" w:hAnsi="Arial" w:cs="Arial"/>
          <w:color w:val="162937"/>
          <w:lang w:eastAsia="pt-BR"/>
        </w:rPr>
      </w:pPr>
      <w:r w:rsidRPr="005354AC">
        <w:rPr>
          <w:rFonts w:ascii="Arial" w:eastAsia="Times New Roman" w:hAnsi="Arial" w:cs="Arial"/>
          <w:color w:val="162937"/>
          <w:lang w:eastAsia="pt-BR"/>
        </w:rPr>
        <w:t xml:space="preserve">Código de Acompanhamento da Execução Orçamentária </w:t>
      </w:r>
      <w:r w:rsidR="00807E44">
        <w:rPr>
          <w:rFonts w:ascii="Arial" w:eastAsia="Times New Roman" w:hAnsi="Arial" w:cs="Arial"/>
          <w:color w:val="162937"/>
          <w:lang w:eastAsia="pt-BR"/>
        </w:rPr>
        <w:t>–</w:t>
      </w:r>
      <w:r w:rsidRPr="005354AC">
        <w:rPr>
          <w:rFonts w:ascii="Arial" w:eastAsia="Times New Roman" w:hAnsi="Arial" w:cs="Arial"/>
          <w:color w:val="162937"/>
          <w:lang w:eastAsia="pt-BR"/>
        </w:rPr>
        <w:t xml:space="preserve"> CO</w:t>
      </w:r>
    </w:p>
    <w:p w14:paraId="7C8AAF1B" w14:textId="77777777" w:rsidR="00807E44" w:rsidRPr="005354AC" w:rsidRDefault="00807E44" w:rsidP="00D21306">
      <w:pPr>
        <w:shd w:val="clear" w:color="auto" w:fill="FFFFFF"/>
        <w:spacing w:after="0" w:line="240" w:lineRule="auto"/>
        <w:ind w:firstLine="1200"/>
        <w:jc w:val="center"/>
        <w:rPr>
          <w:rFonts w:ascii="Arial" w:eastAsia="Times New Roman" w:hAnsi="Arial" w:cs="Arial"/>
          <w:color w:val="162937"/>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738"/>
        <w:gridCol w:w="2691"/>
        <w:gridCol w:w="5075"/>
      </w:tblGrid>
      <w:tr w:rsidR="005354AC" w:rsidRPr="005354AC" w14:paraId="7B1A771E" w14:textId="77777777" w:rsidTr="005354AC">
        <w:trPr>
          <w:gridAfter w:val="2"/>
        </w:trPr>
        <w:tc>
          <w:tcPr>
            <w:tcW w:w="0" w:type="auto"/>
            <w:vAlign w:val="center"/>
            <w:hideMark/>
          </w:tcPr>
          <w:p w14:paraId="67DF4301" w14:textId="77777777" w:rsidR="005354AC" w:rsidRPr="005354AC" w:rsidRDefault="005354AC" w:rsidP="00D21306">
            <w:pPr>
              <w:spacing w:after="0" w:line="240" w:lineRule="auto"/>
              <w:jc w:val="center"/>
              <w:rPr>
                <w:rFonts w:ascii="Arial" w:eastAsia="Times New Roman" w:hAnsi="Arial" w:cs="Arial"/>
                <w:color w:val="162937"/>
                <w:lang w:eastAsia="pt-BR"/>
              </w:rPr>
            </w:pPr>
          </w:p>
        </w:tc>
      </w:tr>
      <w:tr w:rsidR="005354AC" w:rsidRPr="005354AC" w14:paraId="2211CF5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58C07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Código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DC9E2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Nomenclatura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AB05F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Especificação</w:t>
            </w:r>
          </w:p>
        </w:tc>
      </w:tr>
      <w:tr w:rsidR="005354AC" w:rsidRPr="005354AC" w14:paraId="3AD9E201"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4C364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1001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CB8E20"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das despesas com manutenção e desenvolvimento do ensino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1821E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 xml:space="preserve">Identificação das despesas com MDE consideradas para o cumprimento do limite constitucional. Observa o disposto nos </w:t>
            </w:r>
            <w:proofErr w:type="spellStart"/>
            <w:r w:rsidRPr="005354AC">
              <w:rPr>
                <w:rFonts w:ascii="Times New Roman" w:eastAsia="Times New Roman" w:hAnsi="Times New Roman" w:cs="Times New Roman"/>
                <w:lang w:eastAsia="pt-BR"/>
              </w:rPr>
              <w:t>arts</w:t>
            </w:r>
            <w:proofErr w:type="spellEnd"/>
            <w:r w:rsidRPr="005354AC">
              <w:rPr>
                <w:rFonts w:ascii="Times New Roman" w:eastAsia="Times New Roman" w:hAnsi="Times New Roman" w:cs="Times New Roman"/>
                <w:lang w:eastAsia="pt-BR"/>
              </w:rPr>
              <w:t>. 70 e 71 da Lei nº 9.394, de 20 de dezembro de 1996. Identificação associada à Fonte 500 - Recursos não Vinculados de Impostos para verificação dos limites estabelecidos no artigo 212 da Constituição Federal.</w:t>
            </w:r>
          </w:p>
        </w:tc>
      </w:tr>
      <w:tr w:rsidR="005354AC" w:rsidRPr="005354AC" w14:paraId="13214714"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C00B9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1002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8987C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das despesas com ações e serviços públicos de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2ADB0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das despesas com ASPS consideradas para o cumprimento do limite constitucional. Observa o disposto nos art. 2º e 3º da Lei Complementar nº 141, de 13 de janeiro de 2012. Identificação associada à Fonte 500 - Recursos não Vinculados de Impostos para verificação do cumprimento dos limites estabelecidos na LC 141/2012 e na Constituição Federal.</w:t>
            </w:r>
          </w:p>
        </w:tc>
      </w:tr>
      <w:tr w:rsidR="005354AC" w:rsidRPr="005354AC" w14:paraId="4523F7DE"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B0924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1070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E8504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do percentual aplicado no pagamento da remuneração dos profissionais da educação básica em efetivo exercício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5BE31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Observa o disposto no inciso XI do art. 212-A da Constituição Federal. Identificação associada às Fontes 540 - Transferências do FUNDEB - Impostos e Transferências de Impostos, 541 - Transferências do FUNDEB - Complementação da União - VAAF e 542 - Transferências do FUNDEB - Complementação da União - VAAT para verificação da aplicação mínima estabelecida nesse dispositivo.</w:t>
            </w:r>
          </w:p>
        </w:tc>
      </w:tr>
      <w:tr w:rsidR="005354AC" w:rsidRPr="005354AC" w14:paraId="58FF34FF"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E8EBE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AF824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Poder Executivo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255A1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 a qual Poder ou Órgão se refere a despesa quando ela é executada no Poder ou Órgão - PO RPPS, possibilitando a geração automática dos valores das linhas referentes a "Pessoal Inativo e Pensionista" no quadro da "Despesa Bruta com Pessoal" do Demonstrativo da Despesa com Pessoal, bem como a identificação das despesas com benefícios previdenciários efetuados em cada plano quando há segregação das massas. Será associado às fontes de recursos utilizadas para pagamento de benefícios previdenciários.</w:t>
            </w:r>
          </w:p>
        </w:tc>
      </w:tr>
      <w:tr w:rsidR="005354AC" w:rsidRPr="005354AC" w14:paraId="6E589A1C"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A0FD6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25CE9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Poder Legislativo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73CBA7"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F6C1732"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1D193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5CFBF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Contas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3B1A48"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75D952C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C2A73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96B35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Contas dos Municípios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6AE4D3"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6C95F258"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49C49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lastRenderedPageBreak/>
              <w:t>1124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0760C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Ministério Público de Contas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183AD5"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157BAF23"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7EF93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2B14A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Ministério Público de Contas dos Municípios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C37566"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5E0C135"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FA868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08382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Justiça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5EBF62"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0A31620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60E75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97F3A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Justiça Militar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6C5CCF"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10E5DE26"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8B089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D5D629"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Ministério Público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85B10B"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723CF9A5"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88018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1151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AFEBA4"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Defensoria Pública - Fundo em Capitalização (Plano Previdenciário)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EFCA9F"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7DE4EC32"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421E83"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994CE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Poder Executivo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27EE1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 a qual Poder ou Órgão se refere a despesa quando ela é executada no PO RPPS, possibilitando a geração automática dos valores das linhas referentes a "Pessoal Inativo e Pensionista" no quadro da "Despesa Bruta com Pessoal" do Demonstrativo da Despesa com Pessoal, bem como a identificação das despesas com benefícios previdenciários efetuados em cada plano quando há segregação das massas. Será associado às fontes de recursos utilizadas para pagamento de benefícios previdenciários.</w:t>
            </w:r>
          </w:p>
        </w:tc>
      </w:tr>
      <w:tr w:rsidR="005354AC" w:rsidRPr="005354AC" w14:paraId="5374159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463B3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59988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Poder Legislativo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3E1337"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FCD9651"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6D68A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4688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Contas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3A8357"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C52190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0C88F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EFB9B5"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Contas dos Municípios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B43B42"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434E2E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9741B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C1D6D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 xml:space="preserve">Benefícios Previdenciários - Ministério Público de Contas </w:t>
            </w:r>
            <w:r w:rsidRPr="005354AC">
              <w:rPr>
                <w:rFonts w:ascii="Times New Roman" w:eastAsia="Times New Roman" w:hAnsi="Times New Roman" w:cs="Times New Roman"/>
                <w:lang w:eastAsia="pt-BR"/>
              </w:rPr>
              <w:lastRenderedPageBreak/>
              <w:t>-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5BAE28"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7768311B"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F1EF3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720FE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Ministério Público de Contas dos Municípios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D805EE"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0BC6E01A"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30DB1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529637"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Justiça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599C1D"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559BD48F"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8FF792"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1989BD"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Tribunal de Justiça Militar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C5C825"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41764439"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3656BA"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AA032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Ministério Público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489482"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45AB4110"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24286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2151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2FE91E"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Benefícios Previdenciários - Defensoria Pública - Fundo em Repartição (Plano Financeiro)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0EDFC4" w14:textId="77777777" w:rsidR="005354AC" w:rsidRPr="005354AC" w:rsidRDefault="005354AC" w:rsidP="00F156FE">
            <w:pPr>
              <w:spacing w:after="0" w:line="240" w:lineRule="auto"/>
              <w:rPr>
                <w:rFonts w:ascii="Times New Roman" w:eastAsia="Times New Roman" w:hAnsi="Times New Roman" w:cs="Times New Roman"/>
                <w:lang w:eastAsia="pt-BR"/>
              </w:rPr>
            </w:pPr>
          </w:p>
        </w:tc>
      </w:tr>
      <w:tr w:rsidR="005354AC" w:rsidRPr="005354AC" w14:paraId="31411E67"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EBDB01"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3110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3D872F"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das Transferências da União decorrentes de emendas parlamentares individuais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77FD66"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decorrentes de emendas parlamentares individuais, na forma prevista do § 16 do art. 166, da CF/88, acrescido pela Emenda Constitucional nº 105/2019. Esse marcador será associado às fontes de recursos referentes às transferências decorrentes de emendas, na fase da arrecadação da receita.</w:t>
            </w:r>
          </w:p>
        </w:tc>
      </w:tr>
      <w:tr w:rsidR="005354AC" w:rsidRPr="005354AC" w14:paraId="4E87F3CC" w14:textId="77777777" w:rsidTr="005354A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3821EC"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3120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7A1FAB"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Identificação das Transferências da União decorrentes de emendas parlamentares de bancada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1DC128" w14:textId="77777777" w:rsidR="005354AC" w:rsidRPr="005354AC" w:rsidRDefault="005354AC" w:rsidP="00F156FE">
            <w:pPr>
              <w:spacing w:after="0" w:line="240" w:lineRule="auto"/>
              <w:rPr>
                <w:rFonts w:ascii="Times New Roman" w:eastAsia="Times New Roman" w:hAnsi="Times New Roman" w:cs="Times New Roman"/>
                <w:lang w:eastAsia="pt-BR"/>
              </w:rPr>
            </w:pPr>
            <w:r w:rsidRPr="005354AC">
              <w:rPr>
                <w:rFonts w:ascii="Times New Roman" w:eastAsia="Times New Roman" w:hAnsi="Times New Roman" w:cs="Times New Roman"/>
                <w:lang w:eastAsia="pt-BR"/>
              </w:rPr>
              <w:t>Transferências decorrentes de emendas parlamentares de bancada, na forma prevista do § 16 do art. 166, da CF/88, acrescido pela Emenda Constitucional nº 105/2019. Esse marcador será associado às fontes de recursos referentes às transferências decorrentes de emendas, na fase da arrecadação da receita.</w:t>
            </w:r>
          </w:p>
        </w:tc>
      </w:tr>
    </w:tbl>
    <w:p w14:paraId="51D076EE" w14:textId="19A9C650" w:rsidR="0091006C" w:rsidRDefault="0091006C" w:rsidP="00F156FE">
      <w:pPr>
        <w:spacing w:after="0" w:line="240" w:lineRule="auto"/>
        <w:rPr>
          <w:noProof/>
        </w:rPr>
      </w:pPr>
    </w:p>
    <w:p w14:paraId="2129B04C" w14:textId="42549211" w:rsidR="005B4C34" w:rsidRDefault="005B4C34" w:rsidP="00F156FE">
      <w:pPr>
        <w:spacing w:after="0" w:line="240" w:lineRule="auto"/>
        <w:rPr>
          <w:noProof/>
        </w:rPr>
      </w:pPr>
    </w:p>
    <w:p w14:paraId="41746440" w14:textId="77777777" w:rsidR="005B4C34" w:rsidRDefault="005B4C34" w:rsidP="00F156FE">
      <w:pPr>
        <w:spacing w:after="0" w:line="240" w:lineRule="auto"/>
        <w:rPr>
          <w:noProof/>
        </w:rPr>
      </w:pPr>
    </w:p>
    <w:p w14:paraId="293CD360" w14:textId="3A7E853C" w:rsidR="005B4C34" w:rsidRDefault="005B4C34" w:rsidP="00F156FE">
      <w:pPr>
        <w:spacing w:after="0" w:line="240" w:lineRule="auto"/>
        <w:rPr>
          <w:noProof/>
        </w:rPr>
      </w:pPr>
    </w:p>
    <w:p w14:paraId="22CA34B4" w14:textId="77777777" w:rsidR="005B4C34" w:rsidRDefault="005B4C34" w:rsidP="00F156FE">
      <w:pPr>
        <w:spacing w:after="0" w:line="240" w:lineRule="auto"/>
        <w:rPr>
          <w:noProof/>
        </w:rPr>
      </w:pPr>
    </w:p>
    <w:p w14:paraId="1458024E" w14:textId="77777777" w:rsidR="00493B10" w:rsidRDefault="00493B10" w:rsidP="00F156FE">
      <w:pPr>
        <w:spacing w:after="0" w:line="240" w:lineRule="auto"/>
        <w:rPr>
          <w:noProof/>
        </w:rPr>
        <w:sectPr w:rsidR="00493B1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13490821" w14:textId="487DE9E1" w:rsidR="003A31FD" w:rsidRPr="00C174E0" w:rsidRDefault="00BB4A2E" w:rsidP="00F156FE">
      <w:pPr>
        <w:spacing w:after="0" w:line="240" w:lineRule="auto"/>
        <w:rPr>
          <w:noProof/>
        </w:rPr>
      </w:pPr>
      <w:r w:rsidRPr="00BB4A2E">
        <w:rPr>
          <w:noProof/>
        </w:rPr>
        <w:lastRenderedPageBreak/>
        <w:drawing>
          <wp:inline distT="0" distB="0" distL="0" distR="0" wp14:anchorId="72533ED5" wp14:editId="14CA4DF6">
            <wp:extent cx="8892540" cy="520573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205730"/>
                    </a:xfrm>
                    <a:prstGeom prst="rect">
                      <a:avLst/>
                    </a:prstGeom>
                    <a:noFill/>
                    <a:ln>
                      <a:noFill/>
                    </a:ln>
                  </pic:spPr>
                </pic:pic>
              </a:graphicData>
            </a:graphic>
          </wp:inline>
        </w:drawing>
      </w:r>
      <w:bookmarkEnd w:id="0"/>
    </w:p>
    <w:sectPr w:rsidR="003A31FD" w:rsidRPr="00C174E0" w:rsidSect="00493B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A94A2" w14:textId="77777777" w:rsidR="001F19D0" w:rsidRDefault="001F19D0" w:rsidP="006F3DCC">
      <w:pPr>
        <w:spacing w:after="0" w:line="240" w:lineRule="auto"/>
      </w:pPr>
      <w:r>
        <w:separator/>
      </w:r>
    </w:p>
  </w:endnote>
  <w:endnote w:type="continuationSeparator" w:id="0">
    <w:p w14:paraId="5ACEC755" w14:textId="77777777" w:rsidR="001F19D0" w:rsidRDefault="001F19D0" w:rsidP="006F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F64D" w14:textId="77777777" w:rsidR="006F3DCC" w:rsidRDefault="006F3D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82E6" w14:textId="77777777" w:rsidR="006F3DCC" w:rsidRDefault="006F3DC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08714" w14:textId="77777777" w:rsidR="006F3DCC" w:rsidRDefault="006F3D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C4A5C" w14:textId="77777777" w:rsidR="001F19D0" w:rsidRDefault="001F19D0" w:rsidP="006F3DCC">
      <w:pPr>
        <w:spacing w:after="0" w:line="240" w:lineRule="auto"/>
      </w:pPr>
      <w:r>
        <w:separator/>
      </w:r>
    </w:p>
  </w:footnote>
  <w:footnote w:type="continuationSeparator" w:id="0">
    <w:p w14:paraId="662C8649" w14:textId="77777777" w:rsidR="001F19D0" w:rsidRDefault="001F19D0" w:rsidP="006F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BEA0" w14:textId="447EB6D7" w:rsidR="006F3DCC" w:rsidRDefault="006F3D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7798" w14:textId="3DA79AD3" w:rsidR="006F3DCC" w:rsidRDefault="006F3D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6184" w14:textId="5E6ADBCA" w:rsidR="006F3DCC" w:rsidRDefault="006F3DC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AC"/>
    <w:rsid w:val="00092F3B"/>
    <w:rsid w:val="000C5B42"/>
    <w:rsid w:val="000F42AE"/>
    <w:rsid w:val="000F6EBE"/>
    <w:rsid w:val="0011084B"/>
    <w:rsid w:val="001874A8"/>
    <w:rsid w:val="0019007C"/>
    <w:rsid w:val="001F19D0"/>
    <w:rsid w:val="00206DA3"/>
    <w:rsid w:val="00214761"/>
    <w:rsid w:val="002205FA"/>
    <w:rsid w:val="0031261F"/>
    <w:rsid w:val="00327D66"/>
    <w:rsid w:val="00390523"/>
    <w:rsid w:val="003A31FD"/>
    <w:rsid w:val="00441C4E"/>
    <w:rsid w:val="00493B10"/>
    <w:rsid w:val="004E4495"/>
    <w:rsid w:val="004E6014"/>
    <w:rsid w:val="005231EB"/>
    <w:rsid w:val="005354AC"/>
    <w:rsid w:val="005B4C34"/>
    <w:rsid w:val="00625E39"/>
    <w:rsid w:val="006A2D14"/>
    <w:rsid w:val="006F3DCC"/>
    <w:rsid w:val="00770342"/>
    <w:rsid w:val="007C4901"/>
    <w:rsid w:val="007D2792"/>
    <w:rsid w:val="007D7CBE"/>
    <w:rsid w:val="00807E44"/>
    <w:rsid w:val="0086594A"/>
    <w:rsid w:val="008C646C"/>
    <w:rsid w:val="0091006C"/>
    <w:rsid w:val="0093464B"/>
    <w:rsid w:val="00977BDC"/>
    <w:rsid w:val="009C0A7C"/>
    <w:rsid w:val="009C7966"/>
    <w:rsid w:val="009D6844"/>
    <w:rsid w:val="00B73AC1"/>
    <w:rsid w:val="00B84192"/>
    <w:rsid w:val="00B84E19"/>
    <w:rsid w:val="00BB4A2E"/>
    <w:rsid w:val="00BC7B8E"/>
    <w:rsid w:val="00C1700F"/>
    <w:rsid w:val="00C174E0"/>
    <w:rsid w:val="00C41165"/>
    <w:rsid w:val="00C62D4D"/>
    <w:rsid w:val="00C8403A"/>
    <w:rsid w:val="00CA7C98"/>
    <w:rsid w:val="00D21306"/>
    <w:rsid w:val="00D40C88"/>
    <w:rsid w:val="00D7002F"/>
    <w:rsid w:val="00D751B5"/>
    <w:rsid w:val="00D936A8"/>
    <w:rsid w:val="00DB0BAA"/>
    <w:rsid w:val="00DC05A9"/>
    <w:rsid w:val="00DE3E63"/>
    <w:rsid w:val="00EA1C27"/>
    <w:rsid w:val="00F156FE"/>
    <w:rsid w:val="00F66DE9"/>
    <w:rsid w:val="00F67722"/>
    <w:rsid w:val="00F928DF"/>
    <w:rsid w:val="00FA5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19F8"/>
  <w15:chartTrackingRefBased/>
  <w15:docId w15:val="{5CD54C30-9EAF-43B2-AFC8-B4432B13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535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535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535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535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54AC"/>
    <w:rPr>
      <w:b/>
      <w:bCs/>
    </w:rPr>
  </w:style>
  <w:style w:type="paragraph" w:styleId="NormalWeb">
    <w:name w:val="Normal (Web)"/>
    <w:basedOn w:val="Normal"/>
    <w:uiPriority w:val="99"/>
    <w:semiHidden/>
    <w:unhideWhenUsed/>
    <w:rsid w:val="00535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174E0"/>
    <w:rPr>
      <w:color w:val="0000FF"/>
      <w:u w:val="single"/>
    </w:rPr>
  </w:style>
  <w:style w:type="paragraph" w:styleId="Cabealho">
    <w:name w:val="header"/>
    <w:basedOn w:val="Normal"/>
    <w:link w:val="CabealhoChar"/>
    <w:uiPriority w:val="99"/>
    <w:unhideWhenUsed/>
    <w:rsid w:val="006F3D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DCC"/>
  </w:style>
  <w:style w:type="paragraph" w:styleId="Rodap">
    <w:name w:val="footer"/>
    <w:basedOn w:val="Normal"/>
    <w:link w:val="RodapChar"/>
    <w:uiPriority w:val="99"/>
    <w:unhideWhenUsed/>
    <w:rsid w:val="006F3DCC"/>
    <w:pPr>
      <w:tabs>
        <w:tab w:val="center" w:pos="4252"/>
        <w:tab w:val="right" w:pos="8504"/>
      </w:tabs>
      <w:spacing w:after="0" w:line="240" w:lineRule="auto"/>
    </w:pPr>
  </w:style>
  <w:style w:type="character" w:customStyle="1" w:styleId="RodapChar">
    <w:name w:val="Rodapé Char"/>
    <w:basedOn w:val="Fontepargpadro"/>
    <w:link w:val="Rodap"/>
    <w:uiPriority w:val="99"/>
    <w:rsid w:val="006F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0614">
      <w:bodyDiv w:val="1"/>
      <w:marLeft w:val="0"/>
      <w:marRight w:val="0"/>
      <w:marTop w:val="0"/>
      <w:marBottom w:val="0"/>
      <w:divBdr>
        <w:top w:val="none" w:sz="0" w:space="0" w:color="auto"/>
        <w:left w:val="none" w:sz="0" w:space="0" w:color="auto"/>
        <w:bottom w:val="none" w:sz="0" w:space="0" w:color="auto"/>
        <w:right w:val="none" w:sz="0" w:space="0" w:color="auto"/>
      </w:divBdr>
      <w:divsChild>
        <w:div w:id="1875532777">
          <w:marLeft w:val="0"/>
          <w:marRight w:val="0"/>
          <w:marTop w:val="0"/>
          <w:marBottom w:val="300"/>
          <w:divBdr>
            <w:top w:val="none" w:sz="0" w:space="0" w:color="auto"/>
            <w:left w:val="none" w:sz="0" w:space="0" w:color="auto"/>
            <w:bottom w:val="none" w:sz="0" w:space="0" w:color="auto"/>
            <w:right w:val="none" w:sz="0" w:space="0" w:color="auto"/>
          </w:divBdr>
        </w:div>
        <w:div w:id="385379887">
          <w:marLeft w:val="0"/>
          <w:marRight w:val="0"/>
          <w:marTop w:val="300"/>
          <w:marBottom w:val="300"/>
          <w:divBdr>
            <w:top w:val="none" w:sz="0" w:space="0" w:color="auto"/>
            <w:left w:val="none" w:sz="0" w:space="0" w:color="auto"/>
            <w:bottom w:val="none" w:sz="0" w:space="0" w:color="auto"/>
            <w:right w:val="none" w:sz="0" w:space="0" w:color="auto"/>
          </w:divBdr>
        </w:div>
      </w:divsChild>
    </w:div>
    <w:div w:id="10754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sp.gov.br/norma/10792"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4507</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da Fazenda - SP</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Souza Matos</dc:creator>
  <cp:keywords/>
  <dc:description/>
  <cp:lastModifiedBy>Fernanda Blecher</cp:lastModifiedBy>
  <cp:revision>2</cp:revision>
  <cp:lastPrinted>2022-04-11T16:23:00Z</cp:lastPrinted>
  <dcterms:created xsi:type="dcterms:W3CDTF">2022-09-12T14:15:00Z</dcterms:created>
  <dcterms:modified xsi:type="dcterms:W3CDTF">2022-09-12T14:15:00Z</dcterms:modified>
</cp:coreProperties>
</file>